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bidi w:val="0"/>
        <w:jc w:val="both"/>
        <w:rPr>
          <w:rFonts w:hint="eastAsia" w:ascii="仿宋" w:hAnsi="仿宋" w:eastAsia="仿宋" w:cs="仿宋"/>
          <w:color w:val="auto"/>
        </w:rPr>
      </w:pPr>
      <w:bookmarkStart w:id="0" w:name="OLE_LINK1"/>
    </w:p>
    <w:p>
      <w:pPr>
        <w:bidi w:val="0"/>
        <w:jc w:val="both"/>
        <w:rPr>
          <w:rFonts w:hint="eastAsia" w:ascii="仿宋" w:hAnsi="仿宋" w:eastAsia="仿宋" w:cs="仿宋"/>
          <w:color w:val="auto"/>
        </w:rPr>
      </w:pPr>
    </w:p>
    <w:p>
      <w:pPr>
        <w:bidi w:val="0"/>
        <w:jc w:val="both"/>
        <w:rPr>
          <w:rFonts w:hint="eastAsia" w:ascii="仿宋" w:hAnsi="仿宋" w:eastAsia="仿宋" w:cs="仿宋"/>
          <w:color w:val="auto"/>
        </w:rPr>
      </w:pPr>
    </w:p>
    <w:p>
      <w:pPr>
        <w:pStyle w:val="2"/>
        <w:bidi w:val="0"/>
        <w:rPr>
          <w:rFonts w:hint="eastAsia" w:ascii="仿宋" w:hAnsi="仿宋" w:eastAsia="仿宋" w:cs="仿宋"/>
          <w:color w:val="auto"/>
          <w:sz w:val="44"/>
          <w:szCs w:val="44"/>
        </w:rPr>
      </w:pPr>
      <w:bookmarkStart w:id="1" w:name="_Toc28201"/>
      <w:bookmarkStart w:id="2" w:name="_Toc4699"/>
      <w:bookmarkStart w:id="3" w:name="_Toc22359"/>
      <w:bookmarkStart w:id="4" w:name="_Toc24054"/>
      <w:bookmarkStart w:id="5" w:name="_Toc858"/>
      <w:r>
        <w:rPr>
          <w:rFonts w:hint="eastAsia" w:ascii="仿宋" w:hAnsi="仿宋" w:eastAsia="仿宋" w:cs="仿宋"/>
          <w:color w:val="auto"/>
          <w:sz w:val="44"/>
          <w:szCs w:val="44"/>
        </w:rPr>
        <w:t>项目支出绩效评价报告</w:t>
      </w:r>
      <w:bookmarkEnd w:id="1"/>
      <w:bookmarkEnd w:id="2"/>
      <w:bookmarkEnd w:id="3"/>
      <w:bookmarkEnd w:id="4"/>
      <w:bookmarkEnd w:id="5"/>
    </w:p>
    <w:p>
      <w:pPr>
        <w:ind w:firstLine="883"/>
        <w:jc w:val="both"/>
        <w:rPr>
          <w:rFonts w:hint="eastAsia" w:ascii="仿宋" w:hAnsi="仿宋" w:eastAsia="仿宋" w:cs="仿宋"/>
          <w:b/>
          <w:bCs/>
          <w:color w:val="auto"/>
          <w:sz w:val="44"/>
          <w:szCs w:val="44"/>
          <w:highlight w:val="yellow"/>
        </w:rPr>
      </w:pPr>
    </w:p>
    <w:p>
      <w:pPr>
        <w:bidi w:val="0"/>
        <w:jc w:val="both"/>
        <w:rPr>
          <w:rFonts w:hint="eastAsia" w:ascii="仿宋" w:hAnsi="仿宋" w:eastAsia="仿宋" w:cs="仿宋"/>
          <w:color w:val="auto"/>
        </w:rPr>
      </w:pPr>
    </w:p>
    <w:p>
      <w:pPr>
        <w:bidi w:val="0"/>
        <w:ind w:left="0" w:leftChars="0" w:firstLine="0" w:firstLineChars="0"/>
        <w:jc w:val="center"/>
        <w:rPr>
          <w:rFonts w:hint="eastAsia" w:ascii="仿宋" w:hAnsi="仿宋" w:eastAsia="仿宋" w:cs="仿宋"/>
          <w:color w:val="auto"/>
        </w:rPr>
      </w:pPr>
      <w:r>
        <w:rPr>
          <w:rFonts w:hint="eastAsia" w:ascii="仿宋" w:hAnsi="仿宋" w:eastAsia="仿宋" w:cs="仿宋"/>
          <w:color w:val="auto"/>
          <w:sz w:val="28"/>
          <w:szCs w:val="28"/>
          <w:highlight w:val="none"/>
        </w:rPr>
        <w:t>（202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w:t>
      </w:r>
    </w:p>
    <w:p>
      <w:pPr>
        <w:bidi w:val="0"/>
        <w:jc w:val="both"/>
        <w:rPr>
          <w:rFonts w:hint="eastAsia" w:ascii="仿宋" w:hAnsi="仿宋" w:eastAsia="仿宋" w:cs="仿宋"/>
          <w:color w:val="auto"/>
        </w:rPr>
      </w:pPr>
    </w:p>
    <w:p>
      <w:pPr>
        <w:bidi w:val="0"/>
        <w:jc w:val="both"/>
        <w:rPr>
          <w:rFonts w:hint="eastAsia" w:ascii="仿宋" w:hAnsi="仿宋" w:eastAsia="仿宋" w:cs="仿宋"/>
          <w:color w:val="auto"/>
        </w:rPr>
      </w:pPr>
    </w:p>
    <w:p>
      <w:pPr>
        <w:bidi w:val="0"/>
        <w:jc w:val="both"/>
        <w:rPr>
          <w:rFonts w:hint="eastAsia" w:ascii="仿宋" w:hAnsi="仿宋" w:eastAsia="仿宋" w:cs="仿宋"/>
          <w:color w:val="auto"/>
        </w:rPr>
      </w:pPr>
    </w:p>
    <w:p>
      <w:pPr>
        <w:bidi w:val="0"/>
        <w:jc w:val="both"/>
        <w:rPr>
          <w:rFonts w:hint="eastAsia" w:ascii="仿宋" w:hAnsi="仿宋" w:eastAsia="仿宋" w:cs="仿宋"/>
          <w:color w:val="auto"/>
        </w:rPr>
      </w:pPr>
    </w:p>
    <w:p>
      <w:pPr>
        <w:bidi w:val="0"/>
        <w:jc w:val="both"/>
        <w:rPr>
          <w:rFonts w:hint="eastAsia" w:ascii="仿宋" w:hAnsi="仿宋" w:eastAsia="仿宋" w:cs="仿宋"/>
          <w:b/>
          <w:bCs/>
          <w:color w:val="auto"/>
        </w:rPr>
      </w:pPr>
    </w:p>
    <w:p>
      <w:pPr>
        <w:bidi w:val="0"/>
        <w:jc w:val="both"/>
        <w:rPr>
          <w:rFonts w:hint="eastAsia" w:ascii="仿宋" w:hAnsi="仿宋" w:eastAsia="仿宋" w:cs="仿宋"/>
          <w:b w:val="0"/>
          <w:bCs w:val="0"/>
          <w:color w:val="auto"/>
        </w:rPr>
      </w:pPr>
      <w:r>
        <w:rPr>
          <w:rFonts w:hint="eastAsia" w:ascii="仿宋" w:hAnsi="仿宋" w:eastAsia="仿宋" w:cs="仿宋"/>
          <w:b w:val="0"/>
          <w:bCs w:val="0"/>
          <w:color w:val="auto"/>
        </w:rPr>
        <w:t>项目名称：</w:t>
      </w:r>
      <w:r>
        <w:rPr>
          <w:rFonts w:hint="eastAsia" w:ascii="仿宋" w:hAnsi="仿宋" w:eastAsia="仿宋" w:cs="仿宋"/>
          <w:b w:val="0"/>
          <w:bCs w:val="0"/>
          <w:color w:val="auto"/>
          <w:lang w:val="en-US" w:eastAsia="zh-CN"/>
        </w:rPr>
        <w:t>文化保护传承利用工程（第一批）中央基建 罗布人村寨旅游景区旅游基础设施</w:t>
      </w:r>
    </w:p>
    <w:p>
      <w:pPr>
        <w:bidi w:val="0"/>
        <w:ind w:left="640" w:leftChars="200" w:firstLine="0" w:firstLineChars="0"/>
        <w:jc w:val="both"/>
        <w:rPr>
          <w:rFonts w:hint="eastAsia" w:ascii="仿宋" w:hAnsi="仿宋" w:eastAsia="仿宋" w:cs="仿宋"/>
          <w:b w:val="0"/>
          <w:bCs w:val="0"/>
          <w:color w:val="auto"/>
          <w:lang w:val="en-US" w:eastAsia="zh-CN"/>
        </w:rPr>
      </w:pPr>
      <w:r>
        <w:rPr>
          <w:rFonts w:hint="eastAsia" w:ascii="仿宋" w:hAnsi="仿宋" w:eastAsia="仿宋" w:cs="仿宋"/>
          <w:b w:val="0"/>
          <w:bCs w:val="0"/>
          <w:color w:val="auto"/>
        </w:rPr>
        <w:t>实施单位（公章）：</w:t>
      </w:r>
      <w:r>
        <w:rPr>
          <w:rFonts w:hint="eastAsia" w:ascii="仿宋" w:hAnsi="仿宋" w:eastAsia="仿宋" w:cs="仿宋"/>
          <w:b w:val="0"/>
          <w:bCs w:val="0"/>
          <w:color w:val="auto"/>
          <w:lang w:val="en-US" w:eastAsia="zh-CN"/>
        </w:rPr>
        <w:t>尉犁县文化体育广播影视局(旅游局)</w:t>
      </w:r>
    </w:p>
    <w:p>
      <w:pPr>
        <w:bidi w:val="0"/>
        <w:ind w:left="640" w:leftChars="200" w:firstLine="0" w:firstLineChars="0"/>
        <w:jc w:val="both"/>
        <w:rPr>
          <w:rFonts w:hint="eastAsia" w:ascii="仿宋" w:hAnsi="仿宋" w:eastAsia="仿宋" w:cs="仿宋"/>
          <w:b w:val="0"/>
          <w:bCs w:val="0"/>
          <w:color w:val="auto"/>
          <w:lang w:val="en-US" w:eastAsia="zh-CN"/>
        </w:rPr>
      </w:pPr>
      <w:r>
        <w:rPr>
          <w:rFonts w:hint="eastAsia" w:ascii="仿宋" w:hAnsi="仿宋" w:eastAsia="仿宋" w:cs="仿宋"/>
          <w:b w:val="0"/>
          <w:bCs w:val="0"/>
          <w:color w:val="auto"/>
        </w:rPr>
        <w:t>主管部门（公章）：</w:t>
      </w:r>
      <w:r>
        <w:rPr>
          <w:rFonts w:hint="eastAsia" w:ascii="仿宋" w:hAnsi="仿宋" w:eastAsia="仿宋" w:cs="仿宋"/>
          <w:b w:val="0"/>
          <w:bCs w:val="0"/>
          <w:color w:val="auto"/>
          <w:lang w:val="en-US" w:eastAsia="zh-CN"/>
        </w:rPr>
        <w:t>尉犁县文化体育广播影视局(旅游局)</w:t>
      </w:r>
    </w:p>
    <w:p>
      <w:pPr>
        <w:bidi w:val="0"/>
        <w:jc w:val="both"/>
        <w:rPr>
          <w:rFonts w:hint="eastAsia" w:ascii="仿宋" w:hAnsi="仿宋" w:eastAsia="仿宋" w:cs="仿宋"/>
          <w:b w:val="0"/>
          <w:bCs w:val="0"/>
          <w:color w:val="auto"/>
          <w:lang w:val="en-US" w:eastAsia="zh-CN"/>
        </w:rPr>
      </w:pPr>
      <w:r>
        <w:rPr>
          <w:rFonts w:hint="eastAsia" w:ascii="仿宋" w:hAnsi="仿宋" w:eastAsia="仿宋" w:cs="仿宋"/>
          <w:b w:val="0"/>
          <w:bCs w:val="0"/>
          <w:color w:val="auto"/>
        </w:rPr>
        <w:t>项目负责人（签章）：</w:t>
      </w:r>
      <w:r>
        <w:rPr>
          <w:rFonts w:hint="eastAsia" w:ascii="仿宋" w:hAnsi="仿宋" w:eastAsia="仿宋" w:cs="仿宋"/>
          <w:b w:val="0"/>
          <w:bCs w:val="0"/>
          <w:color w:val="auto"/>
          <w:lang w:val="en-US" w:eastAsia="zh-CN"/>
        </w:rPr>
        <w:t>帕提古丽</w:t>
      </w:r>
    </w:p>
    <w:p>
      <w:pPr>
        <w:bidi w:val="0"/>
        <w:jc w:val="both"/>
        <w:rPr>
          <w:rFonts w:hint="eastAsia" w:ascii="仿宋" w:hAnsi="仿宋" w:eastAsia="仿宋" w:cs="仿宋"/>
          <w:b w:val="0"/>
          <w:bCs w:val="0"/>
          <w:color w:val="auto"/>
        </w:rPr>
      </w:pPr>
      <w:r>
        <w:rPr>
          <w:rFonts w:hint="eastAsia" w:ascii="仿宋" w:hAnsi="仿宋" w:eastAsia="仿宋" w:cs="仿宋"/>
          <w:b w:val="0"/>
          <w:bCs w:val="0"/>
          <w:color w:val="auto"/>
        </w:rPr>
        <w:t>填报时间：</w:t>
      </w:r>
      <w:r>
        <w:rPr>
          <w:rFonts w:hint="eastAsia" w:ascii="仿宋" w:hAnsi="仿宋" w:eastAsia="仿宋" w:cs="仿宋"/>
          <w:b w:val="0"/>
          <w:bCs w:val="0"/>
          <w:color w:val="auto"/>
          <w:lang w:val="en-US" w:eastAsia="zh-CN"/>
        </w:rPr>
        <w:t>2025</w:t>
      </w:r>
      <w:r>
        <w:rPr>
          <w:rFonts w:hint="eastAsia" w:ascii="仿宋" w:hAnsi="仿宋" w:eastAsia="仿宋" w:cs="仿宋"/>
          <w:b w:val="0"/>
          <w:bCs w:val="0"/>
          <w:color w:val="auto"/>
        </w:rPr>
        <w:t>年</w:t>
      </w:r>
      <w:r>
        <w:rPr>
          <w:rFonts w:hint="eastAsia" w:ascii="仿宋" w:hAnsi="仿宋" w:eastAsia="仿宋" w:cs="仿宋"/>
          <w:b w:val="0"/>
          <w:bCs w:val="0"/>
          <w:color w:val="auto"/>
          <w:lang w:val="en-US" w:eastAsia="zh-CN"/>
        </w:rPr>
        <w:t>3</w:t>
      </w:r>
      <w:r>
        <w:rPr>
          <w:rFonts w:hint="eastAsia" w:ascii="仿宋" w:hAnsi="仿宋" w:eastAsia="仿宋" w:cs="仿宋"/>
          <w:b w:val="0"/>
          <w:bCs w:val="0"/>
          <w:color w:val="auto"/>
        </w:rPr>
        <w:t>月</w:t>
      </w:r>
      <w:r>
        <w:rPr>
          <w:rFonts w:hint="eastAsia" w:ascii="仿宋" w:hAnsi="仿宋" w:eastAsia="仿宋" w:cs="仿宋"/>
          <w:b w:val="0"/>
          <w:bCs w:val="0"/>
          <w:color w:val="auto"/>
          <w:lang w:val="en-US" w:eastAsia="zh-CN"/>
        </w:rPr>
        <w:t>31</w:t>
      </w:r>
      <w:r>
        <w:rPr>
          <w:rFonts w:hint="eastAsia" w:ascii="仿宋" w:hAnsi="仿宋" w:eastAsia="仿宋" w:cs="仿宋"/>
          <w:b w:val="0"/>
          <w:bCs w:val="0"/>
          <w:color w:val="auto"/>
        </w:rPr>
        <w:t>日</w:t>
      </w:r>
    </w:p>
    <w:p>
      <w:pPr>
        <w:bidi w:val="0"/>
        <w:jc w:val="both"/>
        <w:rPr>
          <w:rFonts w:hint="eastAsia" w:ascii="仿宋" w:hAnsi="仿宋" w:eastAsia="仿宋" w:cs="仿宋"/>
          <w:b w:val="0"/>
          <w:bCs w:val="0"/>
          <w:color w:val="auto"/>
        </w:rPr>
      </w:pPr>
    </w:p>
    <w:p>
      <w:pPr>
        <w:bidi w:val="0"/>
        <w:jc w:val="both"/>
        <w:rPr>
          <w:rFonts w:hint="eastAsia" w:ascii="仿宋" w:hAnsi="仿宋" w:eastAsia="仿宋" w:cs="仿宋"/>
          <w:b w:val="0"/>
          <w:bCs w:val="0"/>
          <w:color w:val="auto"/>
        </w:rPr>
        <w:sectPr>
          <w:pgSz w:w="11906" w:h="16838"/>
          <w:pgMar w:top="1440" w:right="1800" w:bottom="1440" w:left="1800" w:header="851" w:footer="992" w:gutter="0"/>
          <w:pgNumType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textAlignment w:val="auto"/>
        <w:outlineLvl w:val="0"/>
        <w:rPr>
          <w:rFonts w:hint="eastAsia" w:ascii="仿宋" w:hAnsi="仿宋" w:eastAsia="仿宋" w:cs="仿宋"/>
          <w:b/>
          <w:bCs w:val="0"/>
          <w:iCs/>
          <w:color w:val="auto"/>
          <w:kern w:val="2"/>
          <w:sz w:val="32"/>
          <w:szCs w:val="21"/>
          <w:lang w:val="en-US" w:eastAsia="zh-CN" w:bidi="ar-SA"/>
        </w:rPr>
      </w:pPr>
      <w:bookmarkStart w:id="6" w:name="_Toc26206"/>
      <w:bookmarkStart w:id="7" w:name="_Toc9175"/>
      <w:bookmarkStart w:id="8" w:name="_Toc30984"/>
      <w:bookmarkStart w:id="9" w:name="_Toc11827"/>
      <w:bookmarkStart w:id="10" w:name="_Toc1891"/>
      <w:bookmarkStart w:id="11" w:name="_Toc14721"/>
      <w:bookmarkStart w:id="12" w:name="_Toc5473"/>
      <w:bookmarkStart w:id="13" w:name="_Toc18707"/>
      <w:bookmarkStart w:id="14" w:name="_Toc15542"/>
      <w:r>
        <w:rPr>
          <w:rFonts w:hint="eastAsia" w:ascii="仿宋" w:hAnsi="仿宋" w:eastAsia="仿宋" w:cs="仿宋"/>
          <w:b/>
          <w:bCs w:val="0"/>
          <w:iCs/>
          <w:color w:val="auto"/>
          <w:kern w:val="2"/>
          <w:sz w:val="32"/>
          <w:szCs w:val="21"/>
          <w:lang w:val="en-US" w:eastAsia="zh-CN" w:bidi="ar-SA"/>
        </w:rPr>
        <w:t>目  录</w:t>
      </w:r>
      <w:bookmarkEnd w:id="6"/>
      <w:bookmarkEnd w:id="7"/>
      <w:bookmarkEnd w:id="8"/>
    </w:p>
    <w:p>
      <w:pPr>
        <w:pStyle w:val="9"/>
        <w:tabs>
          <w:tab w:val="right" w:leader="dot" w:pos="8306"/>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TOC \o "1-2" \h \u</w:instrText>
      </w:r>
      <w:r>
        <w:rPr>
          <w:rFonts w:hint="eastAsia" w:ascii="仿宋" w:hAnsi="仿宋" w:eastAsia="仿宋" w:cs="仿宋"/>
        </w:rPr>
        <w:fldChar w:fldCharType="separate"/>
      </w:r>
    </w:p>
    <w:p>
      <w:pPr>
        <w:pStyle w:val="9"/>
        <w:tabs>
          <w:tab w:val="right" w:leader="dot" w:pos="8306"/>
        </w:tabs>
        <w:rPr>
          <w:rFonts w:hint="eastAsia" w:ascii="仿宋" w:hAnsi="仿宋" w:eastAsia="仿宋" w:cs="仿宋"/>
        </w:rPr>
      </w:pPr>
      <w:r>
        <w:fldChar w:fldCharType="begin"/>
      </w:r>
      <w:r>
        <w:instrText xml:space="preserve"> HYPERLINK \l "_Toc17015" </w:instrText>
      </w:r>
      <w:r>
        <w:fldChar w:fldCharType="separate"/>
      </w:r>
      <w:r>
        <w:rPr>
          <w:rFonts w:hint="eastAsia" w:ascii="仿宋" w:hAnsi="仿宋" w:eastAsia="仿宋" w:cs="仿宋"/>
          <w:bCs/>
          <w:iCs/>
          <w:kern w:val="2"/>
          <w:szCs w:val="21"/>
          <w:lang w:val="en-US" w:eastAsia="zh-CN" w:bidi="ar-SA"/>
        </w:rPr>
        <w:t>一、基本情况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_Toc17015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"_Toc6347" </w:instrText>
      </w:r>
      <w:r>
        <w:fldChar w:fldCharType="separate"/>
      </w:r>
      <w:r>
        <w:rPr>
          <w:rFonts w:hint="eastAsia" w:ascii="仿宋" w:hAnsi="仿宋" w:eastAsia="仿宋" w:cs="仿宋"/>
        </w:rPr>
        <w:t>（一）项目概况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_Toc6347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"_Toc15587" </w:instrText>
      </w:r>
      <w:r>
        <w:fldChar w:fldCharType="separate"/>
      </w:r>
      <w:r>
        <w:rPr>
          <w:rFonts w:hint="eastAsia" w:ascii="仿宋" w:hAnsi="仿宋" w:eastAsia="仿宋" w:cs="仿宋"/>
          <w:highlight w:val="none"/>
        </w:rPr>
        <w:t>（二）项目绩效目标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_Toc15587 \h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"_Toc25165" </w:instrText>
      </w:r>
      <w:r>
        <w:fldChar w:fldCharType="separate"/>
      </w:r>
      <w:r>
        <w:rPr>
          <w:rFonts w:hint="eastAsia" w:ascii="仿宋" w:hAnsi="仿宋" w:eastAsia="仿宋" w:cs="仿宋"/>
        </w:rPr>
        <w:t>二、绩效评价工作开展情况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_Toc25165 \h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"_Toc26668" </w:instrText>
      </w:r>
      <w:r>
        <w:fldChar w:fldCharType="separate"/>
      </w:r>
      <w:r>
        <w:rPr>
          <w:rFonts w:hint="eastAsia" w:ascii="仿宋" w:hAnsi="仿宋" w:eastAsia="仿宋" w:cs="仿宋"/>
        </w:rPr>
        <w:t>（一）绩效评价目的、对象和范围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_Toc26668 \h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"_Toc12967" </w:instrText>
      </w:r>
      <w:r>
        <w:fldChar w:fldCharType="separate"/>
      </w:r>
      <w:r>
        <w:rPr>
          <w:rFonts w:hint="eastAsia" w:ascii="仿宋" w:hAnsi="仿宋" w:eastAsia="仿宋" w:cs="仿宋"/>
        </w:rPr>
        <w:t>（二）绩效评价原则、评价指标体系、评价方法、评价标准</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_Toc12967 \h </w:instrText>
      </w:r>
      <w:r>
        <w:rPr>
          <w:rFonts w:hint="eastAsia" w:ascii="仿宋" w:hAnsi="仿宋" w:eastAsia="仿宋" w:cs="仿宋"/>
        </w:rPr>
        <w:fldChar w:fldCharType="separate"/>
      </w:r>
      <w:r>
        <w:rPr>
          <w:rFonts w:hint="eastAsia" w:ascii="仿宋" w:hAnsi="仿宋" w:eastAsia="仿宋" w:cs="仿宋"/>
        </w:rPr>
        <w:t>6</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"_Toc17306" </w:instrText>
      </w:r>
      <w:r>
        <w:fldChar w:fldCharType="separate"/>
      </w:r>
      <w:r>
        <w:rPr>
          <w:rFonts w:hint="eastAsia" w:ascii="仿宋" w:hAnsi="仿宋" w:eastAsia="仿宋" w:cs="仿宋"/>
        </w:rPr>
        <w:t>（三）绩效评价工作过程</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_Toc17306 \h </w:instrText>
      </w:r>
      <w:r>
        <w:rPr>
          <w:rFonts w:hint="eastAsia" w:ascii="仿宋" w:hAnsi="仿宋" w:eastAsia="仿宋" w:cs="仿宋"/>
        </w:rPr>
        <w:fldChar w:fldCharType="separate"/>
      </w:r>
      <w:r>
        <w:rPr>
          <w:rFonts w:hint="eastAsia" w:ascii="仿宋" w:hAnsi="仿宋" w:eastAsia="仿宋" w:cs="仿宋"/>
        </w:rPr>
        <w:t>9</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"_Toc29062" </w:instrText>
      </w:r>
      <w:r>
        <w:fldChar w:fldCharType="separate"/>
      </w:r>
      <w:r>
        <w:rPr>
          <w:rFonts w:hint="eastAsia" w:ascii="仿宋" w:hAnsi="仿宋" w:eastAsia="仿宋" w:cs="仿宋"/>
        </w:rPr>
        <w:t>三、综合评价情况及评价结论</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_Toc29062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"_Toc3855" </w:instrText>
      </w:r>
      <w:r>
        <w:fldChar w:fldCharType="separate"/>
      </w:r>
      <w:r>
        <w:rPr>
          <w:rFonts w:hint="eastAsia" w:ascii="仿宋" w:hAnsi="仿宋" w:eastAsia="仿宋" w:cs="仿宋"/>
        </w:rPr>
        <w:t>四、绩效评价指标分析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_Toc3855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"_Toc4393" </w:instrText>
      </w:r>
      <w:r>
        <w:fldChar w:fldCharType="separate"/>
      </w:r>
      <w:r>
        <w:rPr>
          <w:rFonts w:hint="eastAsia" w:ascii="仿宋" w:hAnsi="仿宋" w:eastAsia="仿宋" w:cs="仿宋"/>
        </w:rPr>
        <w:t>（一）项目决策情况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_Toc4393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"_Toc25227" </w:instrText>
      </w:r>
      <w:r>
        <w:fldChar w:fldCharType="separate"/>
      </w:r>
      <w:r>
        <w:rPr>
          <w:rFonts w:hint="eastAsia" w:ascii="仿宋" w:hAnsi="仿宋" w:eastAsia="仿宋" w:cs="仿宋"/>
        </w:rPr>
        <w:t>（二）项目过程情况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_Toc25227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"_Toc1653" </w:instrText>
      </w:r>
      <w:r>
        <w:fldChar w:fldCharType="separate"/>
      </w:r>
      <w:r>
        <w:rPr>
          <w:rFonts w:hint="eastAsia" w:ascii="仿宋" w:hAnsi="仿宋" w:eastAsia="仿宋" w:cs="仿宋"/>
        </w:rPr>
        <w:t>（三）项目产出情况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_Toc1653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"_Toc28136" </w:instrText>
      </w:r>
      <w:r>
        <w:fldChar w:fldCharType="separate"/>
      </w:r>
      <w:r>
        <w:rPr>
          <w:rFonts w:hint="eastAsia" w:ascii="仿宋" w:hAnsi="仿宋" w:eastAsia="仿宋" w:cs="仿宋"/>
        </w:rPr>
        <w:t>（四）项目效益情况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_Toc28136 \h </w:instrText>
      </w:r>
      <w:r>
        <w:rPr>
          <w:rFonts w:hint="eastAsia" w:ascii="仿宋" w:hAnsi="仿宋" w:eastAsia="仿宋" w:cs="仿宋"/>
        </w:rPr>
        <w:fldChar w:fldCharType="separate"/>
      </w:r>
      <w:r>
        <w:rPr>
          <w:rFonts w:hint="eastAsia" w:ascii="仿宋" w:hAnsi="仿宋" w:eastAsia="仿宋" w:cs="仿宋"/>
        </w:rPr>
        <w:t>18</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"_Toc30253" </w:instrText>
      </w:r>
      <w:r>
        <w:fldChar w:fldCharType="separate"/>
      </w:r>
      <w:r>
        <w:rPr>
          <w:rFonts w:hint="eastAsia" w:ascii="仿宋" w:hAnsi="仿宋" w:eastAsia="仿宋" w:cs="仿宋"/>
        </w:rPr>
        <w:t>五、主要经验及做法、存在的问题及原因分析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_Toc30253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"_Toc14578" </w:instrText>
      </w:r>
      <w:r>
        <w:fldChar w:fldCharType="separate"/>
      </w:r>
      <w:r>
        <w:rPr>
          <w:rFonts w:hint="eastAsia" w:ascii="仿宋" w:hAnsi="仿宋" w:eastAsia="仿宋" w:cs="仿宋"/>
        </w:rPr>
        <w:t>（一）主要经验及做法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_Toc14578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rPr>
        <w:fldChar w:fldCharType="end"/>
      </w:r>
    </w:p>
    <w:p>
      <w:pPr>
        <w:pStyle w:val="10"/>
        <w:tabs>
          <w:tab w:val="right" w:leader="dot" w:pos="8306"/>
        </w:tabs>
        <w:rPr>
          <w:rFonts w:hint="eastAsia" w:ascii="仿宋" w:hAnsi="仿宋" w:eastAsia="仿宋" w:cs="仿宋"/>
        </w:rPr>
      </w:pPr>
      <w:r>
        <w:fldChar w:fldCharType="begin"/>
      </w:r>
      <w:r>
        <w:instrText xml:space="preserve"> HYPERLINK \l "_Toc6568" </w:instrText>
      </w:r>
      <w:r>
        <w:fldChar w:fldCharType="separate"/>
      </w:r>
      <w:r>
        <w:rPr>
          <w:rFonts w:hint="eastAsia" w:ascii="仿宋" w:hAnsi="仿宋" w:eastAsia="仿宋" w:cs="仿宋"/>
        </w:rPr>
        <w:t>（二）存在的问题及分析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_Toc6568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"_Toc16536" </w:instrText>
      </w:r>
      <w:r>
        <w:fldChar w:fldCharType="separate"/>
      </w:r>
      <w:r>
        <w:rPr>
          <w:rFonts w:hint="eastAsia" w:ascii="仿宋" w:hAnsi="仿宋" w:eastAsia="仿宋" w:cs="仿宋"/>
        </w:rPr>
        <w:t>六、有关建议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_Toc16536 \h </w:instrText>
      </w:r>
      <w:r>
        <w:rPr>
          <w:rFonts w:hint="eastAsia" w:ascii="仿宋" w:hAnsi="仿宋" w:eastAsia="仿宋" w:cs="仿宋"/>
        </w:rPr>
        <w:fldChar w:fldCharType="separate"/>
      </w:r>
      <w:r>
        <w:rPr>
          <w:rFonts w:hint="eastAsia" w:ascii="仿宋" w:hAnsi="仿宋" w:eastAsia="仿宋" w:cs="仿宋"/>
        </w:rPr>
        <w:t>20</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rPr>
      </w:pPr>
      <w:r>
        <w:fldChar w:fldCharType="begin"/>
      </w:r>
      <w:r>
        <w:instrText xml:space="preserve"> HYPERLINK \l "_Toc18653" </w:instrText>
      </w:r>
      <w:r>
        <w:fldChar w:fldCharType="separate"/>
      </w:r>
      <w:r>
        <w:rPr>
          <w:rFonts w:hint="eastAsia" w:ascii="仿宋" w:hAnsi="仿宋" w:eastAsia="仿宋" w:cs="仿宋"/>
          <w:bCs/>
          <w:iCs/>
        </w:rPr>
        <w:t>七、其他需要说明的问题</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_Toc18653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rPr>
        <w:fldChar w:fldCharType="end"/>
      </w:r>
    </w:p>
    <w:p>
      <w:pPr>
        <w:pStyle w:val="9"/>
        <w:tabs>
          <w:tab w:val="right" w:leader="dot" w:pos="8306"/>
        </w:tabs>
        <w:rPr>
          <w:rFonts w:hint="eastAsia" w:ascii="仿宋" w:hAnsi="仿宋" w:eastAsia="仿宋" w:cs="仿宋"/>
          <w:b/>
        </w:rPr>
      </w:pPr>
      <w:r>
        <w:fldChar w:fldCharType="begin"/>
      </w:r>
      <w:r>
        <w:instrText xml:space="preserve"> HYPERLINK \l "_Toc841" </w:instrText>
      </w:r>
      <w:r>
        <w:fldChar w:fldCharType="separate"/>
      </w:r>
      <w:r>
        <w:rPr>
          <w:rFonts w:hint="eastAsia" w:ascii="仿宋" w:hAnsi="仿宋" w:eastAsia="仿宋" w:cs="仿宋"/>
          <w:bCs/>
          <w:iCs/>
        </w:rPr>
        <w:t>八、附件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_Toc841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rPr>
        <w:fldChar w:fldCharType="end"/>
      </w:r>
      <w:r>
        <w:rPr>
          <w:rFonts w:hint="eastAsia" w:ascii="仿宋" w:hAnsi="仿宋" w:eastAsia="仿宋" w:cs="仿宋"/>
        </w:rPr>
        <w:fldChar w:fldCharType="end"/>
      </w:r>
    </w:p>
    <w:p>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outlineLvl w:val="0"/>
        <w:rPr>
          <w:rFonts w:hint="eastAsia" w:ascii="仿宋" w:hAnsi="仿宋" w:eastAsia="仿宋" w:cs="仿宋"/>
          <w:bCs/>
          <w:iCs/>
          <w:color w:val="auto"/>
          <w:kern w:val="2"/>
          <w:sz w:val="32"/>
          <w:szCs w:val="21"/>
          <w:lang w:val="en-US" w:eastAsia="zh-CN" w:bidi="ar-SA"/>
        </w:rPr>
        <w:sectPr>
          <w:footerReference r:id="rId3" w:type="default"/>
          <w:pgSz w:w="11906" w:h="16838"/>
          <w:pgMar w:top="1440" w:right="1800" w:bottom="1440" w:left="180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hint="eastAsia" w:ascii="仿宋" w:hAnsi="仿宋" w:eastAsia="仿宋" w:cs="仿宋"/>
          <w:bCs/>
          <w:iCs/>
          <w:color w:val="auto"/>
          <w:kern w:val="2"/>
          <w:sz w:val="32"/>
          <w:szCs w:val="21"/>
          <w:lang w:val="en-US" w:eastAsia="zh-CN" w:bidi="ar-SA"/>
        </w:rPr>
      </w:pPr>
      <w:bookmarkStart w:id="15" w:name="_Toc17015"/>
      <w:r>
        <w:rPr>
          <w:rFonts w:hint="eastAsia" w:ascii="仿宋" w:hAnsi="仿宋" w:eastAsia="仿宋" w:cs="仿宋"/>
          <w:bCs/>
          <w:iCs/>
          <w:color w:val="auto"/>
          <w:kern w:val="2"/>
          <w:sz w:val="32"/>
          <w:szCs w:val="21"/>
          <w:lang w:val="en-US" w:eastAsia="zh-CN" w:bidi="ar-SA"/>
        </w:rPr>
        <w:t>一、基本情况</w:t>
      </w:r>
      <w:bookmarkEnd w:id="9"/>
      <w:bookmarkEnd w:id="10"/>
      <w:bookmarkEnd w:id="11"/>
      <w:bookmarkEnd w:id="12"/>
      <w:bookmarkEnd w:id="13"/>
      <w:bookmarkEnd w:id="14"/>
      <w:bookmarkEnd w:id="15"/>
      <w:bookmarkStart w:id="16" w:name="_Toc27593"/>
    </w:p>
    <w:p>
      <w:pPr>
        <w:pStyle w:val="4"/>
        <w:bidi w:val="0"/>
        <w:jc w:val="both"/>
        <w:outlineLvl w:val="1"/>
        <w:rPr>
          <w:rFonts w:hint="eastAsia" w:ascii="仿宋" w:hAnsi="仿宋" w:eastAsia="仿宋" w:cs="仿宋"/>
          <w:color w:val="auto"/>
        </w:rPr>
      </w:pPr>
      <w:bookmarkStart w:id="17" w:name="_Toc24048"/>
      <w:bookmarkStart w:id="18" w:name="_Toc9236"/>
      <w:bookmarkStart w:id="19" w:name="_Toc26183"/>
      <w:bookmarkStart w:id="20" w:name="_Toc24706"/>
      <w:bookmarkStart w:id="21" w:name="_Toc6347"/>
      <w:r>
        <w:rPr>
          <w:rFonts w:hint="eastAsia" w:ascii="仿宋" w:hAnsi="仿宋" w:eastAsia="仿宋" w:cs="仿宋"/>
          <w:color w:val="auto"/>
        </w:rPr>
        <w:t>（一）项目概况</w:t>
      </w:r>
      <w:bookmarkEnd w:id="16"/>
      <w:bookmarkEnd w:id="17"/>
      <w:bookmarkEnd w:id="18"/>
      <w:bookmarkEnd w:id="19"/>
      <w:bookmarkEnd w:id="20"/>
      <w:bookmarkEnd w:id="21"/>
    </w:p>
    <w:p>
      <w:pPr>
        <w:bidi w:val="0"/>
        <w:jc w:val="both"/>
        <w:rPr>
          <w:rFonts w:hint="eastAsia" w:ascii="仿宋" w:hAnsi="仿宋" w:eastAsia="仿宋" w:cs="仿宋"/>
          <w:b/>
          <w:bCs/>
          <w:color w:val="auto"/>
        </w:rPr>
      </w:pPr>
      <w:bookmarkStart w:id="22" w:name="_Toc11427"/>
      <w:bookmarkStart w:id="23" w:name="_Toc19984"/>
      <w:r>
        <w:rPr>
          <w:rFonts w:hint="eastAsia" w:ascii="仿宋" w:hAnsi="仿宋" w:eastAsia="仿宋" w:cs="仿宋"/>
          <w:b/>
          <w:bCs/>
          <w:color w:val="auto"/>
        </w:rPr>
        <w:t>1.项目背景</w:t>
      </w:r>
      <w:bookmarkEnd w:id="22"/>
      <w:bookmarkEnd w:id="23"/>
    </w:p>
    <w:p>
      <w:pPr>
        <w:rPr>
          <w:rFonts w:hint="eastAsia" w:ascii="仿宋" w:hAnsi="仿宋" w:eastAsia="仿宋" w:cs="仿宋"/>
          <w:lang w:eastAsia="zh-CN"/>
        </w:rPr>
      </w:pPr>
      <w:bookmarkStart w:id="24" w:name="_Toc22079"/>
      <w:bookmarkStart w:id="25" w:name="_Toc22216"/>
      <w:r>
        <w:rPr>
          <w:rFonts w:hint="eastAsia" w:ascii="仿宋" w:hAnsi="仿宋" w:eastAsia="仿宋" w:cs="仿宋"/>
          <w:lang w:val="en-US" w:eastAsia="zh-CN"/>
        </w:rPr>
        <w:t>2024年，尉犁县文旅局紧紧围绕自治区“旅游兴疆”战略部署和县委、县人民政府中心工作，统筹抓好旅游产业发展各项工作落实，全力推动罗布人村寨创建国家5A级旅游景区，将执行文化保护传承利用工程（第一批）中央基建 罗布人村寨旅游景区旅游基础设施项目</w:t>
      </w:r>
      <w:r>
        <w:rPr>
          <w:rFonts w:hint="eastAsia" w:ascii="仿宋" w:hAnsi="仿宋" w:eastAsia="仿宋" w:cs="仿宋"/>
          <w:lang w:eastAsia="zh-CN"/>
        </w:rPr>
        <w:t>。</w:t>
      </w:r>
    </w:p>
    <w:p>
      <w:pPr>
        <w:bidi w:val="0"/>
        <w:jc w:val="both"/>
        <w:rPr>
          <w:rFonts w:hint="eastAsia" w:ascii="仿宋" w:hAnsi="仿宋" w:eastAsia="仿宋" w:cs="仿宋"/>
          <w:color w:val="auto"/>
          <w:lang w:val="en-US" w:eastAsia="zh-CN"/>
        </w:rPr>
      </w:pPr>
      <w:r>
        <w:rPr>
          <w:rFonts w:hint="eastAsia" w:ascii="仿宋" w:hAnsi="仿宋" w:eastAsia="仿宋" w:cs="仿宋"/>
          <w:b w:val="0"/>
          <w:bCs w:val="0"/>
          <w:color w:val="auto"/>
          <w:lang w:val="en-US" w:eastAsia="zh-CN"/>
        </w:rPr>
        <w:t>文化保护传承利用工程（第一批）中央基建罗布人村寨旅游景区旅游基础设施</w:t>
      </w:r>
      <w:r>
        <w:rPr>
          <w:rFonts w:hint="eastAsia" w:ascii="仿宋" w:hAnsi="仿宋" w:eastAsia="仿宋" w:cs="仿宋"/>
          <w:b w:val="0"/>
          <w:color w:val="auto"/>
          <w:kern w:val="2"/>
          <w:sz w:val="32"/>
          <w:szCs w:val="22"/>
          <w:lang w:val="en-US" w:eastAsia="zh-CN" w:bidi="ar-SA"/>
        </w:rPr>
        <w:t>的规划与建设，起到弘扬尉犁悠久历史和文化传统的独特功能，使其成为巴州一个重要的社会主义、爱国主义教育基地，成为对外文化交流的窗口，促进尉犁县文化建设与经济建设协调发展。</w:t>
      </w:r>
    </w:p>
    <w:p>
      <w:pPr>
        <w:bidi w:val="0"/>
        <w:jc w:val="both"/>
        <w:rPr>
          <w:rFonts w:hint="eastAsia" w:ascii="仿宋" w:hAnsi="仿宋" w:eastAsia="仿宋" w:cs="仿宋"/>
          <w:b/>
          <w:bCs/>
          <w:color w:val="auto"/>
        </w:rPr>
      </w:pPr>
      <w:r>
        <w:rPr>
          <w:rFonts w:hint="eastAsia" w:ascii="仿宋" w:hAnsi="仿宋" w:eastAsia="仿宋" w:cs="仿宋"/>
          <w:b/>
          <w:bCs/>
          <w:color w:val="auto"/>
        </w:rPr>
        <w:t>2.项目主要内容</w:t>
      </w:r>
      <w:bookmarkEnd w:id="24"/>
      <w:bookmarkEnd w:id="25"/>
    </w:p>
    <w:p>
      <w:pPr>
        <w:bidi w:val="0"/>
        <w:jc w:val="both"/>
        <w:rPr>
          <w:rFonts w:hint="eastAsia" w:ascii="仿宋" w:hAnsi="仿宋" w:eastAsia="仿宋" w:cs="仿宋"/>
          <w:color w:val="auto"/>
          <w:highlight w:val="none"/>
        </w:rPr>
      </w:pPr>
      <w:bookmarkStart w:id="26" w:name="_Toc21529"/>
      <w:r>
        <w:rPr>
          <w:rFonts w:hint="eastAsia" w:ascii="仿宋" w:hAnsi="仿宋" w:eastAsia="仿宋" w:cs="仿宋"/>
          <w:bCs/>
          <w:color w:val="auto"/>
          <w:sz w:val="32"/>
          <w:szCs w:val="32"/>
          <w:highlight w:val="none"/>
          <w:lang w:val="en-US" w:eastAsia="zh-CN"/>
        </w:rPr>
        <w:t>随着国家“一带一路”倡议自治区“旅游兴疆”战略的提出，尉犁县罗布人村寨景区游客数量大幅增加，接待压力也随之增加，这对景区的基础设施和服务能力都是巨大的考验。我局申报自治区旅游发展专项资金对罗布人村寨景区基础设施进行提升改造，以提高景区旅游接待能力和服务水平，推动国家</w:t>
      </w:r>
      <w:r>
        <w:rPr>
          <w:rFonts w:hint="eastAsia" w:ascii="仿宋" w:hAnsi="仿宋" w:eastAsia="仿宋" w:cs="仿宋"/>
          <w:color w:val="auto"/>
          <w:spacing w:val="0"/>
          <w:sz w:val="32"/>
          <w:szCs w:val="32"/>
          <w:highlight w:val="none"/>
          <w:shd w:val="clear" w:color="auto" w:fill="auto"/>
          <w:lang w:val="en-US" w:eastAsia="zh-CN"/>
        </w:rPr>
        <w:t>5A</w:t>
      </w:r>
      <w:r>
        <w:rPr>
          <w:rFonts w:hint="eastAsia" w:ascii="仿宋" w:hAnsi="仿宋" w:eastAsia="仿宋" w:cs="仿宋"/>
          <w:bCs/>
          <w:color w:val="auto"/>
          <w:sz w:val="32"/>
          <w:szCs w:val="32"/>
          <w:highlight w:val="none"/>
          <w:lang w:val="en-US" w:eastAsia="zh-CN"/>
        </w:rPr>
        <w:t>级旅游景区创建，带动当地相关产业发展和群众增收致富，项目开工时间2024年11月，完工时间2025年1月，建设1个驿站，安装1套智能系统，建设1个木栈道。</w:t>
      </w:r>
    </w:p>
    <w:p>
      <w:pPr>
        <w:bidi w:val="0"/>
        <w:jc w:val="both"/>
        <w:rPr>
          <w:rFonts w:hint="eastAsia" w:ascii="仿宋" w:hAnsi="仿宋" w:eastAsia="仿宋" w:cs="仿宋"/>
          <w:bCs/>
          <w:color w:val="auto"/>
          <w:sz w:val="32"/>
          <w:szCs w:val="32"/>
          <w:highlight w:val="yellow"/>
          <w:lang w:val="en-US" w:eastAsia="zh-CN"/>
        </w:rPr>
      </w:pPr>
      <w:bookmarkStart w:id="27" w:name="_Toc31519"/>
      <w:r>
        <w:rPr>
          <w:rFonts w:hint="eastAsia" w:ascii="仿宋" w:hAnsi="仿宋" w:eastAsia="仿宋" w:cs="仿宋"/>
          <w:b/>
          <w:bCs/>
          <w:color w:val="auto"/>
        </w:rPr>
        <w:t>3.项目实施情况</w:t>
      </w:r>
      <w:bookmarkEnd w:id="26"/>
      <w:bookmarkEnd w:id="27"/>
      <w:bookmarkStart w:id="28" w:name="_Toc1111"/>
      <w:bookmarkStart w:id="29" w:name="_Toc20138"/>
    </w:p>
    <w:p>
      <w:pPr>
        <w:rPr>
          <w:rFonts w:hint="eastAsia" w:ascii="仿宋" w:hAnsi="仿宋" w:eastAsia="仿宋" w:cs="仿宋"/>
          <w:lang w:val="en-US" w:eastAsia="zh-CN"/>
        </w:rPr>
      </w:pPr>
      <w:r>
        <w:rPr>
          <w:rFonts w:hint="eastAsia" w:ascii="仿宋" w:hAnsi="仿宋" w:eastAsia="仿宋" w:cs="仿宋"/>
          <w:lang w:val="en-US" w:eastAsia="zh-CN"/>
        </w:rPr>
        <w:t>一是本项目的招标时间为2023年5月22日，开动时间为2023年6月2日，截止到2024年12月31日本项目的工程情况是：新建停车场、改造旅游咨询中心、环卫设施更新设计、标志牌改造设计、电力系统建设及改造、移动公厕均已建设完成并完成初步结算审计。</w:t>
      </w:r>
    </w:p>
    <w:p>
      <w:pPr>
        <w:rPr>
          <w:rFonts w:hint="eastAsia" w:ascii="仿宋" w:hAnsi="仿宋" w:eastAsia="仿宋" w:cs="仿宋"/>
          <w:lang w:val="en-US" w:eastAsia="zh-CN"/>
        </w:rPr>
      </w:pPr>
      <w:r>
        <w:rPr>
          <w:rFonts w:hint="eastAsia" w:ascii="仿宋" w:hAnsi="仿宋" w:eastAsia="仿宋" w:cs="仿宋"/>
          <w:lang w:val="en-US" w:eastAsia="zh-CN"/>
        </w:rPr>
        <w:t>二是提升服务质量，景区经济提升服务质量，安装使用1个智能化系统，涵盖智能票务、导览功能。智能票务方便游客线上购票、快速入园；智能导览借助定位与语音讲解，让游客深入了解景点。同时，建设1个木栈道，其设计充分考量游客行走的舒适性与安全性，采用高品质木材搭建，沿途串联多个景点，优化游客游览体验。如此一来，确保景区服务与设施相匹配，提升景区在旅游市场中的整体竞争力。</w:t>
      </w:r>
    </w:p>
    <w:p>
      <w:pPr>
        <w:rPr>
          <w:rFonts w:hint="eastAsia" w:ascii="仿宋" w:hAnsi="仿宋" w:eastAsia="仿宋" w:cs="仿宋"/>
        </w:rPr>
      </w:pPr>
      <w:r>
        <w:rPr>
          <w:rFonts w:hint="eastAsia" w:ascii="仿宋" w:hAnsi="仿宋" w:eastAsia="仿宋" w:cs="仿宋"/>
          <w:lang w:val="en-US" w:eastAsia="zh-CN"/>
        </w:rPr>
        <w:t>三是深化文化挖掘与推广，完成两个驿站的建设，驿站外观融合传统与现代风格，内部空间精心规划。从此基础上，进一步挖掘罗布人文化内涵，深度探寻罗布人的历史、民俗等。开发特色文化体验项目，如开展罗布人传统技艺展示，让游客近距离感受古老的手工制作的魅力。通过这些举措，增强景区文化吸引力，有力推动文旅深度融合。</w:t>
      </w:r>
    </w:p>
    <w:p>
      <w:pPr>
        <w:rPr>
          <w:rFonts w:hint="eastAsia" w:ascii="仿宋" w:hAnsi="仿宋" w:eastAsia="仿宋" w:cs="仿宋"/>
        </w:rPr>
      </w:pPr>
      <w:r>
        <w:rPr>
          <w:rFonts w:hint="eastAsia" w:ascii="仿宋" w:hAnsi="仿宋" w:eastAsia="仿宋" w:cs="仿宋"/>
        </w:rPr>
        <w:t>4.资金投入情况</w:t>
      </w:r>
      <w:bookmarkEnd w:id="28"/>
      <w:bookmarkEnd w:id="29"/>
    </w:p>
    <w:p>
      <w:pPr>
        <w:bidi w:val="0"/>
        <w:jc w:val="both"/>
        <w:rPr>
          <w:rFonts w:hint="eastAsia" w:ascii="仿宋" w:hAnsi="仿宋" w:eastAsia="仿宋" w:cs="仿宋"/>
          <w:color w:val="auto"/>
          <w:lang w:eastAsia="zh-CN"/>
        </w:rPr>
      </w:pPr>
      <w:bookmarkStart w:id="30" w:name="_Toc7324"/>
      <w:r>
        <w:rPr>
          <w:rFonts w:hint="eastAsia" w:ascii="仿宋" w:hAnsi="仿宋" w:eastAsia="仿宋" w:cs="仿宋"/>
          <w:color w:val="auto"/>
          <w:highlight w:val="none"/>
          <w:lang w:val="en-US" w:eastAsia="zh-CN"/>
        </w:rPr>
        <w:t>根据</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关于下达2023年文化保护传承利用工程（第一</w:t>
      </w:r>
      <w:r>
        <w:rPr>
          <w:rFonts w:hint="eastAsia" w:ascii="仿宋" w:hAnsi="仿宋" w:eastAsia="仿宋" w:cs="仿宋"/>
          <w:lang w:val="en-US" w:eastAsia="zh-CN"/>
        </w:rPr>
        <w:t>批）中央基建投资预算（拨款）的通知</w:t>
      </w:r>
      <w:r>
        <w:rPr>
          <w:rFonts w:hint="eastAsia" w:ascii="仿宋" w:hAnsi="仿宋" w:eastAsia="仿宋" w:cs="仿宋"/>
        </w:rPr>
        <w:t>》（</w:t>
      </w:r>
      <w:r>
        <w:rPr>
          <w:rFonts w:hint="eastAsia" w:ascii="仿宋" w:hAnsi="仿宋" w:eastAsia="仿宋" w:cs="仿宋"/>
          <w:lang w:val="en-US" w:eastAsia="zh-CN"/>
        </w:rPr>
        <w:t>巴财建</w:t>
      </w:r>
      <w:r>
        <w:rPr>
          <w:rFonts w:hint="eastAsia" w:ascii="仿宋" w:hAnsi="仿宋" w:eastAsia="仿宋" w:cs="仿宋"/>
        </w:rPr>
        <w:t>〔</w:t>
      </w:r>
      <w:r>
        <w:rPr>
          <w:rFonts w:hint="eastAsia" w:ascii="仿宋" w:hAnsi="仿宋" w:eastAsia="仿宋" w:cs="仿宋"/>
          <w:lang w:val="en-US" w:eastAsia="zh-CN"/>
        </w:rPr>
        <w:t>2023</w:t>
      </w:r>
      <w:r>
        <w:rPr>
          <w:rFonts w:hint="eastAsia" w:ascii="仿宋" w:hAnsi="仿宋" w:eastAsia="仿宋" w:cs="仿宋"/>
        </w:rPr>
        <w:t>〕</w:t>
      </w:r>
      <w:r>
        <w:rPr>
          <w:rFonts w:hint="eastAsia" w:ascii="仿宋" w:hAnsi="仿宋" w:eastAsia="仿宋" w:cs="仿宋"/>
          <w:lang w:val="en-US" w:eastAsia="zh-CN"/>
        </w:rPr>
        <w:t>42</w:t>
      </w:r>
      <w:r>
        <w:rPr>
          <w:rFonts w:hint="eastAsia" w:ascii="仿宋" w:hAnsi="仿宋" w:eastAsia="仿宋" w:cs="仿宋"/>
        </w:rPr>
        <w:t>号）</w:t>
      </w:r>
      <w:r>
        <w:rPr>
          <w:rFonts w:hint="eastAsia" w:ascii="仿宋" w:hAnsi="仿宋" w:eastAsia="仿宋" w:cs="仿宋"/>
          <w:lang w:val="en-US" w:eastAsia="zh-CN"/>
        </w:rPr>
        <w:t>文化保护传承利用工程（第一批）中央基建 罗布人村寨旅游景区旅游基础设施项目资金下达906万元，</w:t>
      </w:r>
      <w:r>
        <w:rPr>
          <w:rFonts w:hint="eastAsia" w:ascii="仿宋" w:hAnsi="仿宋" w:eastAsia="仿宋" w:cs="仿宋"/>
        </w:rPr>
        <w:t>用于</w:t>
      </w:r>
      <w:r>
        <w:rPr>
          <w:rFonts w:hint="eastAsia" w:ascii="仿宋" w:hAnsi="仿宋" w:eastAsia="仿宋" w:cs="仿宋"/>
          <w:lang w:val="en-US" w:eastAsia="zh-CN"/>
        </w:rPr>
        <w:t>建设木栈道经费支出460</w:t>
      </w:r>
      <w:r>
        <w:rPr>
          <w:rFonts w:hint="eastAsia" w:ascii="仿宋" w:hAnsi="仿宋" w:eastAsia="仿宋" w:cs="仿宋"/>
        </w:rPr>
        <w:t>万元、</w:t>
      </w:r>
      <w:r>
        <w:rPr>
          <w:rFonts w:hint="eastAsia" w:ascii="仿宋" w:hAnsi="仿宋" w:eastAsia="仿宋" w:cs="仿宋"/>
          <w:lang w:val="en-US" w:eastAsia="zh-CN"/>
        </w:rPr>
        <w:t>建设智能化系统经费支出200</w:t>
      </w:r>
      <w:r>
        <w:rPr>
          <w:rFonts w:hint="eastAsia" w:ascii="仿宋" w:hAnsi="仿宋" w:eastAsia="仿宋" w:cs="仿宋"/>
        </w:rPr>
        <w:t>万元</w:t>
      </w:r>
      <w:r>
        <w:rPr>
          <w:rFonts w:hint="eastAsia" w:ascii="仿宋" w:hAnsi="仿宋" w:eastAsia="仿宋" w:cs="仿宋"/>
          <w:lang w:eastAsia="zh-CN"/>
        </w:rPr>
        <w:t>，</w:t>
      </w:r>
      <w:r>
        <w:rPr>
          <w:rFonts w:hint="eastAsia" w:ascii="仿宋" w:hAnsi="仿宋" w:eastAsia="仿宋" w:cs="仿宋"/>
          <w:lang w:val="en-US" w:eastAsia="zh-CN"/>
        </w:rPr>
        <w:t>暂列金经费支出106</w:t>
      </w:r>
      <w:r>
        <w:rPr>
          <w:rFonts w:hint="eastAsia" w:ascii="仿宋" w:hAnsi="仿宋" w:eastAsia="仿宋" w:cs="仿宋"/>
        </w:rPr>
        <w:t>万元、</w:t>
      </w:r>
      <w:r>
        <w:rPr>
          <w:rFonts w:hint="eastAsia" w:ascii="仿宋" w:hAnsi="仿宋" w:eastAsia="仿宋" w:cs="仿宋"/>
          <w:lang w:val="en-US" w:eastAsia="zh-CN"/>
        </w:rPr>
        <w:t>建设驿站经费</w:t>
      </w:r>
      <w:r>
        <w:rPr>
          <w:rFonts w:hint="eastAsia" w:ascii="仿宋" w:hAnsi="仿宋" w:eastAsia="仿宋" w:cs="仿宋"/>
          <w:color w:val="auto"/>
          <w:lang w:val="en-US" w:eastAsia="zh-CN"/>
        </w:rPr>
        <w:t>支出140</w:t>
      </w:r>
      <w:r>
        <w:rPr>
          <w:rFonts w:hint="eastAsia" w:ascii="仿宋" w:hAnsi="仿宋" w:eastAsia="仿宋" w:cs="仿宋"/>
          <w:color w:val="auto"/>
        </w:rPr>
        <w:t>万元</w:t>
      </w:r>
      <w:r>
        <w:rPr>
          <w:rFonts w:hint="eastAsia" w:ascii="仿宋" w:hAnsi="仿宋" w:eastAsia="仿宋" w:cs="仿宋"/>
          <w:color w:val="auto"/>
          <w:lang w:eastAsia="zh-CN"/>
        </w:rPr>
        <w:t>。</w:t>
      </w:r>
    </w:p>
    <w:p>
      <w:pPr>
        <w:rPr>
          <w:rFonts w:hint="eastAsia" w:ascii="仿宋" w:hAnsi="仿宋" w:eastAsia="仿宋" w:cs="仿宋"/>
          <w:lang w:eastAsia="zh-CN"/>
        </w:rPr>
      </w:pPr>
      <w:r>
        <w:rPr>
          <w:rFonts w:hint="eastAsia" w:ascii="仿宋" w:hAnsi="仿宋" w:eastAsia="仿宋" w:cs="仿宋"/>
          <w:color w:val="auto"/>
          <w:highlight w:val="none"/>
        </w:rPr>
        <w:t>实</w:t>
      </w:r>
      <w:r>
        <w:rPr>
          <w:rFonts w:hint="eastAsia" w:ascii="仿宋" w:hAnsi="仿宋" w:eastAsia="仿宋" w:cs="仿宋"/>
        </w:rPr>
        <w:t>施</w:t>
      </w:r>
      <w:r>
        <w:rPr>
          <w:rFonts w:hint="eastAsia" w:ascii="仿宋" w:hAnsi="仿宋" w:eastAsia="仿宋" w:cs="仿宋"/>
          <w:lang w:val="en-US" w:eastAsia="zh-CN"/>
        </w:rPr>
        <w:t>文化保护传承利用工程（第一批）中央基建罗布人村寨旅游景区旅游基础设施</w:t>
      </w:r>
      <w:r>
        <w:rPr>
          <w:rFonts w:hint="eastAsia" w:ascii="仿宋" w:hAnsi="仿宋" w:eastAsia="仿宋" w:cs="仿宋"/>
        </w:rPr>
        <w:t>投入</w:t>
      </w:r>
      <w:r>
        <w:rPr>
          <w:rFonts w:hint="eastAsia" w:ascii="仿宋" w:hAnsi="仿宋" w:eastAsia="仿宋" w:cs="仿宋"/>
          <w:lang w:val="en-US" w:eastAsia="zh-CN"/>
        </w:rPr>
        <w:t>906</w:t>
      </w:r>
      <w:r>
        <w:rPr>
          <w:rFonts w:hint="eastAsia" w:ascii="仿宋" w:hAnsi="仿宋" w:eastAsia="仿宋" w:cs="仿宋"/>
        </w:rPr>
        <w:t>万元，其中</w:t>
      </w:r>
      <w:r>
        <w:rPr>
          <w:rFonts w:hint="eastAsia" w:ascii="仿宋" w:hAnsi="仿宋" w:eastAsia="仿宋" w:cs="仿宋"/>
          <w:lang w:val="en-US" w:eastAsia="zh-CN"/>
        </w:rPr>
        <w:t>中央资金906万元</w:t>
      </w:r>
      <w:r>
        <w:rPr>
          <w:rFonts w:hint="eastAsia" w:ascii="仿宋" w:hAnsi="仿宋" w:eastAsia="仿宋" w:cs="仿宋"/>
        </w:rPr>
        <w:t>。</w:t>
      </w:r>
    </w:p>
    <w:p>
      <w:pPr>
        <w:rPr>
          <w:rFonts w:hint="eastAsia" w:ascii="仿宋" w:hAnsi="仿宋" w:eastAsia="仿宋" w:cs="仿宋"/>
        </w:rPr>
      </w:pPr>
      <w:bookmarkStart w:id="31" w:name="_Toc10837"/>
      <w:r>
        <w:rPr>
          <w:rFonts w:hint="eastAsia" w:ascii="仿宋" w:hAnsi="仿宋" w:eastAsia="仿宋" w:cs="仿宋"/>
        </w:rPr>
        <w:t>5.资金使用情况</w:t>
      </w:r>
      <w:bookmarkEnd w:id="30"/>
      <w:bookmarkEnd w:id="31"/>
    </w:p>
    <w:p>
      <w:pPr>
        <w:rPr>
          <w:rFonts w:hint="eastAsia" w:ascii="仿宋" w:hAnsi="仿宋" w:eastAsia="仿宋" w:cs="仿宋"/>
        </w:rPr>
      </w:pPr>
      <w:r>
        <w:rPr>
          <w:rFonts w:hint="eastAsia" w:ascii="仿宋" w:hAnsi="仿宋" w:eastAsia="仿宋" w:cs="仿宋"/>
          <w:lang w:val="en-US" w:eastAsia="zh-CN"/>
        </w:rPr>
        <w:t>2024</w:t>
      </w:r>
      <w:r>
        <w:rPr>
          <w:rFonts w:hint="eastAsia" w:ascii="仿宋" w:hAnsi="仿宋" w:eastAsia="仿宋" w:cs="仿宋"/>
          <w:lang w:eastAsia="zh-CN"/>
        </w:rPr>
        <w:t>年初预算数</w:t>
      </w:r>
      <w:r>
        <w:rPr>
          <w:rFonts w:hint="eastAsia" w:ascii="仿宋" w:hAnsi="仿宋" w:eastAsia="仿宋" w:cs="仿宋"/>
          <w:lang w:val="en-US" w:eastAsia="zh-CN"/>
        </w:rPr>
        <w:t>906.00</w:t>
      </w:r>
      <w:r>
        <w:rPr>
          <w:rFonts w:hint="eastAsia" w:ascii="仿宋" w:hAnsi="仿宋" w:eastAsia="仿宋" w:cs="仿宋"/>
        </w:rPr>
        <w:t>万元</w:t>
      </w:r>
      <w:r>
        <w:rPr>
          <w:rFonts w:hint="eastAsia" w:ascii="仿宋" w:hAnsi="仿宋" w:eastAsia="仿宋" w:cs="仿宋"/>
          <w:lang w:eastAsia="zh-CN"/>
        </w:rPr>
        <w:t>，</w:t>
      </w:r>
      <w:r>
        <w:rPr>
          <w:rFonts w:hint="eastAsia" w:ascii="仿宋" w:hAnsi="仿宋" w:eastAsia="仿宋" w:cs="仿宋"/>
        </w:rPr>
        <w:t>实际到位资金</w:t>
      </w:r>
      <w:r>
        <w:rPr>
          <w:rFonts w:hint="eastAsia" w:ascii="仿宋" w:hAnsi="仿宋" w:eastAsia="仿宋" w:cs="仿宋"/>
          <w:lang w:val="en-US" w:eastAsia="zh-CN"/>
        </w:rPr>
        <w:t>906.00</w:t>
      </w:r>
      <w:r>
        <w:rPr>
          <w:rFonts w:hint="eastAsia" w:ascii="仿宋" w:hAnsi="仿宋" w:eastAsia="仿宋" w:cs="仿宋"/>
        </w:rPr>
        <w:t>万元</w:t>
      </w:r>
      <w:r>
        <w:rPr>
          <w:rFonts w:hint="eastAsia" w:ascii="仿宋" w:hAnsi="仿宋" w:eastAsia="仿宋" w:cs="仿宋"/>
          <w:lang w:eastAsia="zh-CN"/>
        </w:rPr>
        <w:t>。</w:t>
      </w:r>
      <w:r>
        <w:rPr>
          <w:rFonts w:hint="eastAsia" w:ascii="仿宋" w:hAnsi="仿宋" w:eastAsia="仿宋" w:cs="仿宋"/>
        </w:rPr>
        <w:t>截止202</w:t>
      </w:r>
      <w:r>
        <w:rPr>
          <w:rFonts w:hint="eastAsia" w:ascii="仿宋" w:hAnsi="仿宋" w:eastAsia="仿宋" w:cs="仿宋"/>
          <w:lang w:val="en-US" w:eastAsia="zh-CN"/>
        </w:rPr>
        <w:t>4</w:t>
      </w:r>
      <w:r>
        <w:rPr>
          <w:rFonts w:hint="eastAsia" w:ascii="仿宋" w:hAnsi="仿宋" w:eastAsia="仿宋" w:cs="仿宋"/>
        </w:rPr>
        <w:t>年12月31日</w:t>
      </w:r>
      <w:r>
        <w:rPr>
          <w:rFonts w:hint="eastAsia" w:ascii="仿宋" w:hAnsi="仿宋" w:eastAsia="仿宋" w:cs="仿宋"/>
          <w:lang w:eastAsia="zh-CN"/>
        </w:rPr>
        <w:t>，</w:t>
      </w:r>
      <w:r>
        <w:rPr>
          <w:rFonts w:hint="eastAsia" w:ascii="仿宋" w:hAnsi="仿宋" w:eastAsia="仿宋" w:cs="仿宋"/>
        </w:rPr>
        <w:t>项目实际使用资金</w:t>
      </w:r>
      <w:r>
        <w:rPr>
          <w:rFonts w:hint="eastAsia" w:ascii="仿宋" w:hAnsi="仿宋" w:eastAsia="仿宋" w:cs="仿宋"/>
          <w:lang w:val="en-US" w:eastAsia="zh-CN"/>
        </w:rPr>
        <w:t>878.08</w:t>
      </w:r>
      <w:r>
        <w:rPr>
          <w:rFonts w:hint="eastAsia" w:ascii="仿宋" w:hAnsi="仿宋" w:eastAsia="仿宋" w:cs="仿宋"/>
        </w:rPr>
        <w:t>万元，资金</w:t>
      </w:r>
      <w:r>
        <w:rPr>
          <w:rFonts w:hint="eastAsia" w:ascii="仿宋" w:hAnsi="仿宋" w:eastAsia="仿宋" w:cs="仿宋"/>
          <w:lang w:val="en-US" w:eastAsia="zh-CN"/>
        </w:rPr>
        <w:t>使用</w:t>
      </w:r>
      <w:r>
        <w:rPr>
          <w:rFonts w:hint="eastAsia" w:ascii="仿宋" w:hAnsi="仿宋" w:eastAsia="仿宋" w:cs="仿宋"/>
        </w:rPr>
        <w:t>率达到了</w:t>
      </w:r>
      <w:r>
        <w:rPr>
          <w:rFonts w:hint="eastAsia" w:ascii="仿宋" w:hAnsi="仿宋" w:eastAsia="仿宋" w:cs="仿宋"/>
          <w:lang w:val="en-US" w:eastAsia="zh-CN"/>
        </w:rPr>
        <w:t>96.92</w:t>
      </w:r>
      <w:r>
        <w:rPr>
          <w:rFonts w:hint="eastAsia" w:ascii="仿宋" w:hAnsi="仿宋" w:eastAsia="仿宋" w:cs="仿宋"/>
        </w:rPr>
        <w:t>%。具体资金支付情况：</w:t>
      </w:r>
    </w:p>
    <w:p>
      <w:pPr>
        <w:rPr>
          <w:rFonts w:hint="eastAsia" w:ascii="仿宋" w:hAnsi="仿宋" w:eastAsia="仿宋" w:cs="仿宋"/>
          <w:lang w:eastAsia="zh-CN"/>
        </w:rPr>
      </w:pPr>
      <w:r>
        <w:rPr>
          <w:rFonts w:hint="eastAsia" w:ascii="仿宋" w:hAnsi="仿宋" w:eastAsia="仿宋" w:cs="仿宋"/>
        </w:rPr>
        <w:t>202</w:t>
      </w:r>
      <w:r>
        <w:rPr>
          <w:rFonts w:hint="eastAsia" w:ascii="仿宋" w:hAnsi="仿宋" w:eastAsia="仿宋" w:cs="仿宋"/>
          <w:lang w:val="en-US" w:eastAsia="zh-CN"/>
        </w:rPr>
        <w:t>4</w:t>
      </w:r>
      <w:r>
        <w:rPr>
          <w:rFonts w:hint="eastAsia" w:ascii="仿宋" w:hAnsi="仿宋" w:eastAsia="仿宋" w:cs="仿宋"/>
        </w:rPr>
        <w:t>年</w:t>
      </w:r>
      <w:r>
        <w:rPr>
          <w:rFonts w:hint="eastAsia" w:ascii="仿宋" w:hAnsi="仿宋" w:eastAsia="仿宋" w:cs="仿宋"/>
          <w:lang w:val="en-US" w:eastAsia="zh-CN"/>
        </w:rPr>
        <w:t>6</w:t>
      </w:r>
      <w:r>
        <w:rPr>
          <w:rFonts w:hint="eastAsia" w:ascii="仿宋" w:hAnsi="仿宋" w:eastAsia="仿宋" w:cs="仿宋"/>
        </w:rPr>
        <w:t>月</w:t>
      </w:r>
      <w:r>
        <w:rPr>
          <w:rFonts w:hint="eastAsia" w:ascii="仿宋" w:hAnsi="仿宋" w:eastAsia="仿宋" w:cs="仿宋"/>
          <w:lang w:val="en-US" w:eastAsia="zh-CN"/>
        </w:rPr>
        <w:t>27</w:t>
      </w:r>
      <w:r>
        <w:rPr>
          <w:rFonts w:hint="eastAsia" w:ascii="仿宋" w:hAnsi="仿宋" w:eastAsia="仿宋" w:cs="仿宋"/>
        </w:rPr>
        <w:t>日，支付</w:t>
      </w:r>
      <w:r>
        <w:rPr>
          <w:rFonts w:hint="eastAsia" w:ascii="仿宋" w:hAnsi="仿宋" w:eastAsia="仿宋" w:cs="仿宋"/>
          <w:lang w:val="en-US" w:eastAsia="zh-CN"/>
        </w:rPr>
        <w:t>尉犁县达西兴业工程建设有限责任公司600</w:t>
      </w:r>
      <w:r>
        <w:rPr>
          <w:rFonts w:hint="eastAsia" w:ascii="仿宋" w:hAnsi="仿宋" w:eastAsia="仿宋" w:cs="仿宋"/>
        </w:rPr>
        <w:t>万元</w:t>
      </w:r>
      <w:r>
        <w:rPr>
          <w:rFonts w:hint="eastAsia" w:ascii="仿宋" w:hAnsi="仿宋" w:eastAsia="仿宋" w:cs="仿宋"/>
          <w:lang w:eastAsia="zh-CN"/>
        </w:rPr>
        <w:t>，</w:t>
      </w:r>
    </w:p>
    <w:p>
      <w:pPr>
        <w:rPr>
          <w:rFonts w:hint="eastAsia" w:ascii="仿宋" w:hAnsi="仿宋" w:eastAsia="仿宋" w:cs="仿宋"/>
          <w:lang w:eastAsia="zh-CN"/>
        </w:rPr>
      </w:pPr>
      <w:r>
        <w:rPr>
          <w:rFonts w:hint="eastAsia" w:ascii="仿宋" w:hAnsi="仿宋" w:eastAsia="仿宋" w:cs="仿宋"/>
        </w:rPr>
        <w:t>202</w:t>
      </w:r>
      <w:r>
        <w:rPr>
          <w:rFonts w:hint="eastAsia" w:ascii="仿宋" w:hAnsi="仿宋" w:eastAsia="仿宋" w:cs="仿宋"/>
          <w:lang w:val="en-US" w:eastAsia="zh-CN"/>
        </w:rPr>
        <w:t>4</w:t>
      </w:r>
      <w:r>
        <w:rPr>
          <w:rFonts w:hint="eastAsia" w:ascii="仿宋" w:hAnsi="仿宋" w:eastAsia="仿宋" w:cs="仿宋"/>
        </w:rPr>
        <w:t>年</w:t>
      </w:r>
      <w:r>
        <w:rPr>
          <w:rFonts w:hint="eastAsia" w:ascii="仿宋" w:hAnsi="仿宋" w:eastAsia="仿宋" w:cs="仿宋"/>
          <w:lang w:val="en-US" w:eastAsia="zh-CN"/>
        </w:rPr>
        <w:t>12</w:t>
      </w:r>
      <w:r>
        <w:rPr>
          <w:rFonts w:hint="eastAsia" w:ascii="仿宋" w:hAnsi="仿宋" w:eastAsia="仿宋" w:cs="仿宋"/>
        </w:rPr>
        <w:t>月</w:t>
      </w:r>
      <w:r>
        <w:rPr>
          <w:rFonts w:hint="eastAsia" w:ascii="仿宋" w:hAnsi="仿宋" w:eastAsia="仿宋" w:cs="仿宋"/>
          <w:lang w:val="en-US" w:eastAsia="zh-CN"/>
        </w:rPr>
        <w:t>6</w:t>
      </w:r>
      <w:r>
        <w:rPr>
          <w:rFonts w:hint="eastAsia" w:ascii="仿宋" w:hAnsi="仿宋" w:eastAsia="仿宋" w:cs="仿宋"/>
        </w:rPr>
        <w:t>日，支付</w:t>
      </w:r>
      <w:r>
        <w:rPr>
          <w:rFonts w:hint="eastAsia" w:ascii="仿宋" w:hAnsi="仿宋" w:eastAsia="仿宋" w:cs="仿宋"/>
          <w:lang w:val="en-US" w:eastAsia="zh-CN"/>
        </w:rPr>
        <w:t>新疆志恒建筑工程有限公司278.08</w:t>
      </w:r>
      <w:r>
        <w:rPr>
          <w:rFonts w:hint="eastAsia" w:ascii="仿宋" w:hAnsi="仿宋" w:eastAsia="仿宋" w:cs="仿宋"/>
        </w:rPr>
        <w:t>万元</w:t>
      </w:r>
      <w:r>
        <w:rPr>
          <w:rFonts w:hint="eastAsia" w:ascii="仿宋" w:hAnsi="仿宋" w:eastAsia="仿宋" w:cs="仿宋"/>
          <w:lang w:eastAsia="zh-CN"/>
        </w:rPr>
        <w:t>。</w:t>
      </w:r>
    </w:p>
    <w:p>
      <w:pPr>
        <w:pStyle w:val="4"/>
        <w:bidi w:val="0"/>
        <w:jc w:val="both"/>
        <w:outlineLvl w:val="1"/>
        <w:rPr>
          <w:rFonts w:hint="eastAsia" w:ascii="仿宋" w:hAnsi="仿宋" w:eastAsia="仿宋" w:cs="仿宋"/>
          <w:color w:val="auto"/>
          <w:highlight w:val="none"/>
        </w:rPr>
      </w:pPr>
      <w:bookmarkStart w:id="32" w:name="_Toc11967"/>
      <w:bookmarkStart w:id="33" w:name="_Toc15587"/>
      <w:bookmarkStart w:id="34" w:name="_Toc14296"/>
      <w:bookmarkStart w:id="35" w:name="_Toc31302"/>
      <w:bookmarkStart w:id="36" w:name="_Toc9567"/>
      <w:bookmarkStart w:id="37" w:name="_Toc26395"/>
      <w:r>
        <w:rPr>
          <w:rFonts w:hint="eastAsia" w:ascii="仿宋" w:hAnsi="仿宋" w:eastAsia="仿宋" w:cs="仿宋"/>
          <w:color w:val="auto"/>
          <w:highlight w:val="none"/>
        </w:rPr>
        <w:t>（二）项目绩效目标</w:t>
      </w:r>
      <w:bookmarkEnd w:id="32"/>
      <w:bookmarkEnd w:id="33"/>
      <w:bookmarkEnd w:id="34"/>
      <w:bookmarkEnd w:id="35"/>
      <w:bookmarkEnd w:id="36"/>
      <w:bookmarkEnd w:id="37"/>
    </w:p>
    <w:p>
      <w:pPr>
        <w:bidi w:val="0"/>
        <w:jc w:val="both"/>
        <w:rPr>
          <w:rFonts w:hint="eastAsia" w:ascii="仿宋" w:hAnsi="仿宋" w:eastAsia="仿宋" w:cs="仿宋"/>
          <w:b/>
          <w:bCs/>
          <w:color w:val="auto"/>
        </w:rPr>
      </w:pPr>
      <w:bookmarkStart w:id="38" w:name="_Toc905"/>
      <w:bookmarkStart w:id="39" w:name="_Toc18809"/>
      <w:r>
        <w:rPr>
          <w:rFonts w:hint="eastAsia" w:ascii="仿宋" w:hAnsi="仿宋" w:eastAsia="仿宋" w:cs="仿宋"/>
          <w:b/>
          <w:bCs/>
          <w:color w:val="auto"/>
        </w:rPr>
        <w:t>1.总体目标</w:t>
      </w:r>
      <w:bookmarkEnd w:id="38"/>
      <w:bookmarkEnd w:id="39"/>
    </w:p>
    <w:p>
      <w:pPr>
        <w:bidi w:val="0"/>
        <w:jc w:val="both"/>
        <w:rPr>
          <w:rFonts w:hint="eastAsia" w:ascii="仿宋" w:hAnsi="仿宋" w:eastAsia="仿宋" w:cs="仿宋"/>
          <w:color w:val="auto"/>
          <w:lang w:eastAsia="zh-CN"/>
        </w:rPr>
      </w:pPr>
      <w:bookmarkStart w:id="40" w:name="_Toc10045"/>
      <w:r>
        <w:rPr>
          <w:rFonts w:hint="eastAsia" w:ascii="仿宋" w:hAnsi="仿宋" w:eastAsia="仿宋" w:cs="仿宋"/>
          <w:color w:val="auto"/>
          <w:lang w:eastAsia="zh-CN"/>
        </w:rPr>
        <w:t>为打造绿色公共空间，不断提升人与自然和谐共生的现代化水平，完成两个驿站的建设，安装使用1个智能化系统以及建设1个木栈道。</w:t>
      </w:r>
    </w:p>
    <w:p>
      <w:pPr>
        <w:bidi w:val="0"/>
        <w:jc w:val="both"/>
        <w:rPr>
          <w:rFonts w:hint="eastAsia" w:ascii="仿宋" w:hAnsi="仿宋" w:eastAsia="仿宋" w:cs="仿宋"/>
          <w:b/>
          <w:bCs/>
          <w:color w:val="auto"/>
        </w:rPr>
      </w:pPr>
      <w:bookmarkStart w:id="41" w:name="_Toc11195"/>
      <w:r>
        <w:rPr>
          <w:rFonts w:hint="eastAsia" w:ascii="仿宋" w:hAnsi="仿宋" w:eastAsia="仿宋" w:cs="仿宋"/>
          <w:b/>
          <w:bCs/>
          <w:color w:val="auto"/>
        </w:rPr>
        <w:t>2.阶段性目标</w:t>
      </w:r>
      <w:bookmarkEnd w:id="40"/>
      <w:bookmarkEnd w:id="41"/>
    </w:p>
    <w:p>
      <w:pPr>
        <w:bidi w:val="0"/>
        <w:jc w:val="both"/>
        <w:rPr>
          <w:rFonts w:hint="eastAsia" w:ascii="仿宋" w:hAnsi="仿宋" w:eastAsia="仿宋" w:cs="仿宋"/>
          <w:color w:val="auto"/>
          <w:lang w:val="en-US" w:eastAsia="zh-CN"/>
        </w:rPr>
      </w:pPr>
      <w:bookmarkStart w:id="42" w:name="_Toc6156"/>
      <w:bookmarkStart w:id="43" w:name="_Toc31122"/>
      <w:bookmarkStart w:id="44" w:name="_Toc857"/>
      <w:bookmarkStart w:id="45" w:name="_Toc25321"/>
      <w:bookmarkStart w:id="46" w:name="_Toc6534"/>
      <w:r>
        <w:rPr>
          <w:rFonts w:hint="eastAsia" w:ascii="仿宋" w:hAnsi="仿宋" w:eastAsia="仿宋" w:cs="仿宋"/>
          <w:color w:val="auto"/>
          <w:lang w:val="en-US" w:eastAsia="zh-CN"/>
        </w:rPr>
        <w:t>上半年完成相关前期手续办理，下半年开始施工建设</w:t>
      </w:r>
      <w:r>
        <w:rPr>
          <w:rFonts w:hint="eastAsia" w:ascii="仿宋" w:hAnsi="仿宋" w:eastAsia="仿宋" w:cs="仿宋"/>
          <w:color w:val="auto"/>
          <w:lang w:eastAsia="zh-CN"/>
        </w:rPr>
        <w:t>完成两个驿站的建设，安装使用1个智能化系统以及建设1个木栈道。</w:t>
      </w:r>
    </w:p>
    <w:p>
      <w:pPr>
        <w:pStyle w:val="3"/>
        <w:bidi w:val="0"/>
        <w:jc w:val="both"/>
        <w:outlineLvl w:val="0"/>
        <w:rPr>
          <w:rFonts w:hint="eastAsia" w:ascii="仿宋" w:hAnsi="仿宋" w:eastAsia="仿宋" w:cs="仿宋"/>
          <w:color w:val="auto"/>
        </w:rPr>
      </w:pPr>
      <w:bookmarkStart w:id="47" w:name="_Toc25165"/>
      <w:r>
        <w:rPr>
          <w:rFonts w:hint="eastAsia" w:ascii="仿宋" w:hAnsi="仿宋" w:eastAsia="仿宋" w:cs="仿宋"/>
          <w:color w:val="auto"/>
        </w:rPr>
        <w:t>二、绩效评价工作开展情况</w:t>
      </w:r>
      <w:bookmarkEnd w:id="42"/>
      <w:bookmarkEnd w:id="43"/>
      <w:bookmarkEnd w:id="44"/>
      <w:bookmarkEnd w:id="45"/>
      <w:bookmarkEnd w:id="46"/>
      <w:bookmarkEnd w:id="47"/>
    </w:p>
    <w:p>
      <w:pPr>
        <w:pStyle w:val="4"/>
        <w:bidi w:val="0"/>
        <w:jc w:val="both"/>
        <w:outlineLvl w:val="1"/>
        <w:rPr>
          <w:rFonts w:hint="eastAsia" w:ascii="仿宋" w:hAnsi="仿宋" w:eastAsia="仿宋" w:cs="仿宋"/>
          <w:color w:val="auto"/>
        </w:rPr>
      </w:pPr>
      <w:bookmarkStart w:id="48" w:name="_Toc17516"/>
      <w:bookmarkStart w:id="49" w:name="_Toc32557"/>
      <w:bookmarkStart w:id="50" w:name="_Toc10300"/>
      <w:bookmarkStart w:id="51" w:name="_Toc30569"/>
      <w:bookmarkStart w:id="52" w:name="_Toc26668"/>
      <w:r>
        <w:rPr>
          <w:rFonts w:hint="eastAsia" w:ascii="仿宋" w:hAnsi="仿宋" w:eastAsia="仿宋" w:cs="仿宋"/>
          <w:color w:val="auto"/>
        </w:rPr>
        <w:t>（一）绩效评价目的、对象和范围</w:t>
      </w:r>
      <w:bookmarkEnd w:id="48"/>
      <w:bookmarkEnd w:id="49"/>
      <w:bookmarkEnd w:id="50"/>
      <w:bookmarkEnd w:id="51"/>
      <w:bookmarkEnd w:id="52"/>
    </w:p>
    <w:p>
      <w:pPr>
        <w:bidi w:val="0"/>
        <w:jc w:val="both"/>
        <w:rPr>
          <w:rFonts w:hint="eastAsia" w:ascii="仿宋" w:hAnsi="仿宋" w:eastAsia="仿宋" w:cs="仿宋"/>
          <w:b/>
          <w:bCs/>
          <w:color w:val="auto"/>
        </w:rPr>
      </w:pPr>
      <w:bookmarkStart w:id="53" w:name="_Toc12440"/>
      <w:bookmarkStart w:id="54" w:name="_Toc11562"/>
      <w:r>
        <w:rPr>
          <w:rFonts w:hint="eastAsia" w:ascii="仿宋" w:hAnsi="仿宋" w:eastAsia="仿宋" w:cs="仿宋"/>
          <w:b/>
          <w:bCs/>
          <w:color w:val="auto"/>
        </w:rPr>
        <w:t>1.绩效评价目的</w:t>
      </w:r>
      <w:bookmarkEnd w:id="53"/>
      <w:bookmarkEnd w:id="54"/>
    </w:p>
    <w:p>
      <w:pPr>
        <w:bidi w:val="0"/>
        <w:jc w:val="both"/>
        <w:rPr>
          <w:rFonts w:hint="eastAsia" w:ascii="仿宋" w:hAnsi="仿宋" w:eastAsia="仿宋" w:cs="仿宋"/>
          <w:color w:val="auto"/>
        </w:rPr>
      </w:pPr>
      <w:r>
        <w:rPr>
          <w:rFonts w:hint="eastAsia" w:ascii="仿宋" w:hAnsi="仿宋" w:eastAsia="仿宋" w:cs="仿宋"/>
          <w:color w:val="auto"/>
        </w:rPr>
        <w:t>本次绩效评价遵循财政部《关于印发</w:t>
      </w:r>
      <w:r>
        <w:rPr>
          <w:rFonts w:hint="eastAsia" w:ascii="仿宋" w:hAnsi="仿宋" w:eastAsia="仿宋" w:cs="仿宋"/>
          <w:color w:val="auto"/>
          <w:lang w:eastAsia="zh-CN"/>
        </w:rPr>
        <w:t>〈</w:t>
      </w:r>
      <w:r>
        <w:rPr>
          <w:rFonts w:hint="eastAsia" w:ascii="仿宋" w:hAnsi="仿宋" w:eastAsia="仿宋" w:cs="仿宋"/>
          <w:color w:val="auto"/>
        </w:rPr>
        <w:t>项目支出绩效评价管理办法</w:t>
      </w:r>
      <w:r>
        <w:rPr>
          <w:rFonts w:hint="eastAsia" w:ascii="仿宋" w:hAnsi="仿宋" w:eastAsia="仿宋" w:cs="仿宋"/>
          <w:color w:val="auto"/>
          <w:lang w:eastAsia="zh-CN"/>
        </w:rPr>
        <w:t>〉</w:t>
      </w:r>
      <w:r>
        <w:rPr>
          <w:rFonts w:hint="eastAsia" w:ascii="仿宋" w:hAnsi="仿宋" w:eastAsia="仿宋" w:cs="仿宋"/>
          <w:color w:val="auto"/>
        </w:rPr>
        <w:t>的通知》（财预〔2020〕10号）文件精神，对</w:t>
      </w:r>
      <w:r>
        <w:rPr>
          <w:rFonts w:hint="eastAsia" w:ascii="仿宋" w:hAnsi="仿宋" w:eastAsia="仿宋" w:cs="仿宋"/>
          <w:color w:val="auto"/>
          <w:lang w:eastAsia="zh-CN"/>
        </w:rPr>
        <w:t>文化保护传承利用工程（第一批）中央基建 罗布人村寨旅游景区旅游基础设施</w:t>
      </w:r>
      <w:r>
        <w:rPr>
          <w:rFonts w:hint="eastAsia" w:ascii="仿宋" w:hAnsi="仿宋" w:eastAsia="仿宋" w:cs="仿宋"/>
          <w:color w:val="auto"/>
          <w:lang w:val="en-US" w:eastAsia="zh-CN"/>
        </w:rPr>
        <w:t>项目</w:t>
      </w:r>
      <w:r>
        <w:rPr>
          <w:rFonts w:hint="eastAsia" w:ascii="仿宋" w:hAnsi="仿宋" w:eastAsia="仿宋" w:cs="仿宋"/>
          <w:color w:val="auto"/>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pPr>
        <w:bidi w:val="0"/>
        <w:jc w:val="both"/>
        <w:rPr>
          <w:rFonts w:hint="eastAsia" w:ascii="仿宋" w:hAnsi="仿宋" w:eastAsia="仿宋" w:cs="仿宋"/>
          <w:color w:val="auto"/>
        </w:rPr>
      </w:pPr>
      <w:r>
        <w:rPr>
          <w:rFonts w:hint="eastAsia" w:ascii="仿宋" w:hAnsi="仿宋" w:eastAsia="仿宋" w:cs="仿宋"/>
          <w:color w:val="auto"/>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bidi w:val="0"/>
        <w:jc w:val="both"/>
        <w:rPr>
          <w:rFonts w:hint="eastAsia" w:ascii="仿宋" w:hAnsi="仿宋" w:eastAsia="仿宋" w:cs="仿宋"/>
          <w:color w:val="auto"/>
        </w:rPr>
      </w:pPr>
      <w:r>
        <w:rPr>
          <w:rFonts w:hint="eastAsia" w:ascii="仿宋" w:hAnsi="仿宋" w:eastAsia="仿宋" w:cs="仿宋"/>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bidi w:val="0"/>
        <w:jc w:val="both"/>
        <w:rPr>
          <w:rFonts w:hint="eastAsia" w:ascii="仿宋" w:hAnsi="仿宋" w:eastAsia="仿宋" w:cs="仿宋"/>
          <w:color w:val="auto"/>
        </w:rPr>
      </w:pPr>
      <w:r>
        <w:rPr>
          <w:rFonts w:hint="eastAsia" w:ascii="仿宋" w:hAnsi="仿宋" w:eastAsia="仿宋" w:cs="仿宋"/>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hint="eastAsia" w:ascii="仿宋" w:hAnsi="仿宋" w:eastAsia="仿宋" w:cs="仿宋"/>
          <w:color w:val="auto"/>
        </w:rPr>
      </w:pPr>
      <w:r>
        <w:rPr>
          <w:rFonts w:hint="eastAsia" w:ascii="仿宋" w:hAnsi="仿宋" w:eastAsia="仿宋" w:cs="仿宋"/>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jc w:val="both"/>
        <w:rPr>
          <w:rFonts w:hint="eastAsia" w:ascii="仿宋" w:hAnsi="仿宋" w:eastAsia="仿宋" w:cs="仿宋"/>
          <w:b/>
          <w:bCs/>
          <w:color w:val="auto"/>
        </w:rPr>
      </w:pPr>
      <w:bookmarkStart w:id="55" w:name="_Toc8924"/>
      <w:bookmarkStart w:id="56" w:name="_Toc2159"/>
      <w:r>
        <w:rPr>
          <w:rFonts w:hint="eastAsia" w:ascii="仿宋" w:hAnsi="仿宋" w:eastAsia="仿宋" w:cs="仿宋"/>
          <w:b/>
          <w:bCs/>
          <w:color w:val="auto"/>
        </w:rPr>
        <w:t>2.绩效评价对象</w:t>
      </w:r>
      <w:bookmarkEnd w:id="55"/>
      <w:r>
        <w:rPr>
          <w:rFonts w:hint="eastAsia" w:ascii="仿宋" w:hAnsi="仿宋" w:eastAsia="仿宋" w:cs="仿宋"/>
          <w:b/>
          <w:bCs/>
          <w:color w:val="auto"/>
        </w:rPr>
        <w:t>和范围</w:t>
      </w:r>
      <w:bookmarkEnd w:id="56"/>
    </w:p>
    <w:p>
      <w:pPr>
        <w:bidi w:val="0"/>
        <w:jc w:val="both"/>
        <w:rPr>
          <w:rFonts w:hint="eastAsia" w:ascii="仿宋" w:hAnsi="仿宋" w:eastAsia="仿宋" w:cs="仿宋"/>
          <w:color w:val="auto"/>
        </w:rPr>
      </w:pPr>
      <w:r>
        <w:rPr>
          <w:rFonts w:hint="eastAsia" w:ascii="仿宋" w:hAnsi="仿宋" w:eastAsia="仿宋" w:cs="仿宋"/>
          <w:color w:val="auto"/>
        </w:rPr>
        <w:t>根据《财政支出绩效评价管理办法》（财预〔2020〕10号）文件要求，对</w:t>
      </w:r>
      <w:r>
        <w:rPr>
          <w:rFonts w:hint="eastAsia" w:ascii="仿宋" w:hAnsi="仿宋" w:eastAsia="仿宋" w:cs="仿宋"/>
          <w:color w:val="auto"/>
          <w:lang w:eastAsia="zh-CN"/>
        </w:rPr>
        <w:t>文化保护传承利用工程（第一批）中央基建 罗布人村寨旅游景区旅游基础设施</w:t>
      </w:r>
      <w:r>
        <w:rPr>
          <w:rFonts w:hint="eastAsia" w:ascii="仿宋" w:hAnsi="仿宋" w:eastAsia="仿宋" w:cs="仿宋"/>
          <w:color w:val="auto"/>
          <w:lang w:val="en-US" w:eastAsia="zh-CN"/>
        </w:rPr>
        <w:t>项目</w:t>
      </w:r>
      <w:r>
        <w:rPr>
          <w:rFonts w:hint="eastAsia" w:ascii="仿宋" w:hAnsi="仿宋" w:eastAsia="仿宋" w:cs="仿宋"/>
          <w:color w:val="auto"/>
        </w:rPr>
        <w:t>开展绩效评价，本次绩效评价范围主要围绕项目决策（包括项目立项、绩效目标、资金投入）、项目过程（包括资金管理、组织实施）、项目产出（包括产出数量、质量、时效、成本）和项目效益等进行评价。</w:t>
      </w:r>
    </w:p>
    <w:p>
      <w:pPr>
        <w:pStyle w:val="4"/>
        <w:bidi w:val="0"/>
        <w:jc w:val="both"/>
        <w:outlineLvl w:val="1"/>
        <w:rPr>
          <w:rFonts w:hint="eastAsia" w:ascii="仿宋" w:hAnsi="仿宋" w:eastAsia="仿宋" w:cs="仿宋"/>
          <w:color w:val="auto"/>
        </w:rPr>
      </w:pPr>
      <w:bookmarkStart w:id="57" w:name="_Toc15409"/>
      <w:bookmarkStart w:id="58" w:name="_Toc13496"/>
      <w:bookmarkStart w:id="59" w:name="_Toc12967"/>
      <w:bookmarkStart w:id="60" w:name="_Toc19566"/>
      <w:bookmarkStart w:id="61" w:name="_Toc17158"/>
      <w:r>
        <w:rPr>
          <w:rFonts w:hint="eastAsia" w:ascii="仿宋" w:hAnsi="仿宋" w:eastAsia="仿宋" w:cs="仿宋"/>
          <w:color w:val="auto"/>
        </w:rPr>
        <w:t>（二）绩效评价原则、评价指标体系、评价方法、评价标准</w:t>
      </w:r>
      <w:bookmarkEnd w:id="57"/>
      <w:bookmarkEnd w:id="58"/>
      <w:bookmarkEnd w:id="59"/>
      <w:bookmarkEnd w:id="60"/>
      <w:bookmarkEnd w:id="61"/>
    </w:p>
    <w:p>
      <w:pPr>
        <w:bidi w:val="0"/>
        <w:jc w:val="both"/>
        <w:rPr>
          <w:rFonts w:hint="eastAsia" w:ascii="仿宋" w:hAnsi="仿宋" w:eastAsia="仿宋" w:cs="仿宋"/>
          <w:b/>
          <w:bCs/>
          <w:color w:val="auto"/>
        </w:rPr>
      </w:pPr>
      <w:bookmarkStart w:id="62" w:name="_Toc18268"/>
      <w:bookmarkStart w:id="63" w:name="_Toc23487"/>
      <w:r>
        <w:rPr>
          <w:rFonts w:hint="eastAsia" w:ascii="仿宋" w:hAnsi="仿宋" w:eastAsia="仿宋" w:cs="仿宋"/>
          <w:b/>
          <w:bCs/>
          <w:color w:val="auto"/>
        </w:rPr>
        <w:t>1.绩效评价原则</w:t>
      </w:r>
      <w:bookmarkEnd w:id="62"/>
      <w:bookmarkEnd w:id="63"/>
    </w:p>
    <w:p>
      <w:pPr>
        <w:bidi w:val="0"/>
        <w:jc w:val="both"/>
        <w:rPr>
          <w:rFonts w:hint="eastAsia" w:ascii="仿宋" w:hAnsi="仿宋" w:eastAsia="仿宋" w:cs="仿宋"/>
          <w:color w:val="auto"/>
        </w:rPr>
      </w:pPr>
      <w:r>
        <w:rPr>
          <w:rFonts w:hint="eastAsia" w:ascii="仿宋" w:hAnsi="仿宋" w:eastAsia="仿宋" w:cs="仿宋"/>
          <w:color w:val="auto"/>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bidi w:val="0"/>
        <w:jc w:val="both"/>
        <w:rPr>
          <w:rFonts w:hint="eastAsia" w:ascii="仿宋" w:hAnsi="仿宋" w:eastAsia="仿宋" w:cs="仿宋"/>
          <w:color w:val="auto"/>
        </w:rPr>
      </w:pPr>
      <w:r>
        <w:rPr>
          <w:rFonts w:hint="eastAsia" w:ascii="仿宋" w:hAnsi="仿宋" w:eastAsia="仿宋" w:cs="仿宋"/>
          <w:color w:val="auto"/>
        </w:rPr>
        <w:t>（1）科学公正。绩效评价应当运用科学合理的方法，按照规范的程序，对项目绩效进行客观、</w:t>
      </w:r>
      <w:r>
        <w:rPr>
          <w:rFonts w:hint="eastAsia" w:ascii="仿宋" w:hAnsi="仿宋" w:eastAsia="仿宋" w:cs="仿宋"/>
          <w:color w:val="auto"/>
          <w:lang w:eastAsia="zh-CN"/>
        </w:rPr>
        <w:t>公正地反映</w:t>
      </w:r>
      <w:r>
        <w:rPr>
          <w:rFonts w:hint="eastAsia" w:ascii="仿宋" w:hAnsi="仿宋" w:eastAsia="仿宋" w:cs="仿宋"/>
          <w:color w:val="auto"/>
        </w:rPr>
        <w:t>。</w:t>
      </w:r>
    </w:p>
    <w:p>
      <w:pPr>
        <w:bidi w:val="0"/>
        <w:jc w:val="both"/>
        <w:rPr>
          <w:rFonts w:hint="eastAsia" w:ascii="仿宋" w:hAnsi="仿宋" w:eastAsia="仿宋" w:cs="仿宋"/>
          <w:color w:val="auto"/>
        </w:rPr>
      </w:pPr>
      <w:r>
        <w:rPr>
          <w:rFonts w:hint="eastAsia" w:ascii="仿宋" w:hAnsi="仿宋" w:eastAsia="仿宋" w:cs="仿宋"/>
          <w:color w:val="auto"/>
        </w:rPr>
        <w:t>（2）统筹兼顾。单位自评应由项目单位自主实施，即“谁支出、谁自评”。</w:t>
      </w:r>
    </w:p>
    <w:p>
      <w:pPr>
        <w:bidi w:val="0"/>
        <w:jc w:val="both"/>
        <w:rPr>
          <w:rFonts w:hint="eastAsia" w:ascii="仿宋" w:hAnsi="仿宋" w:eastAsia="仿宋" w:cs="仿宋"/>
          <w:color w:val="auto"/>
          <w:highlight w:val="none"/>
        </w:rPr>
      </w:pPr>
      <w:r>
        <w:rPr>
          <w:rFonts w:hint="eastAsia" w:ascii="仿宋" w:hAnsi="仿宋" w:eastAsia="仿宋" w:cs="仿宋"/>
          <w:color w:val="auto"/>
        </w:rPr>
        <w:t>（3）激励约束。绩效评价结果应与预算安排、政策调整、改进管理实质性挂钩，体现奖优罚劣和激励相容导向，有效要安排、低效要</w:t>
      </w:r>
      <w:r>
        <w:rPr>
          <w:rFonts w:hint="eastAsia" w:ascii="仿宋" w:hAnsi="仿宋" w:eastAsia="仿宋" w:cs="仿宋"/>
          <w:color w:val="auto"/>
          <w:highlight w:val="none"/>
        </w:rPr>
        <w:t>压减、无效要问责。</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（4）公开透明。</w:t>
      </w:r>
      <w:r>
        <w:rPr>
          <w:rFonts w:hint="eastAsia" w:ascii="仿宋" w:hAnsi="仿宋" w:eastAsia="仿宋" w:cs="仿宋"/>
          <w:color w:val="auto"/>
          <w:highlight w:val="none"/>
          <w:lang w:val="en-US" w:eastAsia="zh-CN"/>
        </w:rPr>
        <w:t>本次项目支出绩效评价结果已依法依规在尉犁县人民政府网站上公开，并自觉接受社会监督</w:t>
      </w:r>
      <w:r>
        <w:rPr>
          <w:rFonts w:hint="eastAsia" w:ascii="仿宋" w:hAnsi="仿宋" w:eastAsia="仿宋" w:cs="仿宋"/>
          <w:color w:val="auto"/>
          <w:highlight w:val="none"/>
        </w:rPr>
        <w:t>。</w:t>
      </w:r>
    </w:p>
    <w:p>
      <w:pPr>
        <w:bidi w:val="0"/>
        <w:jc w:val="both"/>
        <w:rPr>
          <w:rFonts w:hint="eastAsia" w:ascii="仿宋" w:hAnsi="仿宋" w:eastAsia="仿宋" w:cs="仿宋"/>
          <w:color w:val="auto"/>
        </w:rPr>
      </w:pPr>
      <w:r>
        <w:rPr>
          <w:rFonts w:hint="eastAsia" w:ascii="仿宋" w:hAnsi="仿宋" w:eastAsia="仿宋" w:cs="仿宋"/>
          <w:color w:val="auto"/>
        </w:rPr>
        <w:t>根据以上原则，绩效评价应遵循如下要求:</w:t>
      </w:r>
    </w:p>
    <w:p>
      <w:pPr>
        <w:bidi w:val="0"/>
        <w:jc w:val="both"/>
        <w:rPr>
          <w:rFonts w:hint="eastAsia" w:ascii="仿宋" w:hAnsi="仿宋" w:eastAsia="仿宋" w:cs="仿宋"/>
          <w:color w:val="auto"/>
        </w:rPr>
      </w:pPr>
      <w:r>
        <w:rPr>
          <w:rFonts w:hint="eastAsia" w:ascii="仿宋" w:hAnsi="仿宋" w:eastAsia="仿宋" w:cs="仿宋"/>
          <w:color w:val="auto"/>
        </w:rPr>
        <w:t>（1）在数据采集时，采取客观数据，主管部门审查、社会中介组织复查，与问卷调查相结合的形式，以保证各项指标的真实性。</w:t>
      </w:r>
    </w:p>
    <w:p>
      <w:pPr>
        <w:bidi w:val="0"/>
        <w:jc w:val="both"/>
        <w:rPr>
          <w:rFonts w:hint="eastAsia" w:ascii="仿宋" w:hAnsi="仿宋" w:eastAsia="仿宋" w:cs="仿宋"/>
          <w:color w:val="auto"/>
        </w:rPr>
      </w:pPr>
      <w:r>
        <w:rPr>
          <w:rFonts w:hint="eastAsia" w:ascii="仿宋" w:hAnsi="仿宋" w:eastAsia="仿宋" w:cs="仿宋"/>
          <w:color w:val="auto"/>
        </w:rPr>
        <w:t>（2）保证评价结果的真实性、公正性，提高评价报告的公信力。</w:t>
      </w:r>
    </w:p>
    <w:p>
      <w:pPr>
        <w:bidi w:val="0"/>
        <w:jc w:val="both"/>
        <w:rPr>
          <w:rFonts w:hint="eastAsia" w:ascii="仿宋" w:hAnsi="仿宋" w:eastAsia="仿宋" w:cs="仿宋"/>
          <w:color w:val="auto"/>
        </w:rPr>
      </w:pPr>
      <w:r>
        <w:rPr>
          <w:rFonts w:hint="eastAsia" w:ascii="仿宋" w:hAnsi="仿宋" w:eastAsia="仿宋" w:cs="仿宋"/>
          <w:color w:val="auto"/>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bidi w:val="0"/>
        <w:jc w:val="both"/>
        <w:rPr>
          <w:rFonts w:hint="eastAsia" w:ascii="仿宋" w:hAnsi="仿宋" w:eastAsia="仿宋" w:cs="仿宋"/>
          <w:b/>
          <w:bCs/>
          <w:color w:val="auto"/>
        </w:rPr>
      </w:pPr>
      <w:bookmarkStart w:id="64" w:name="_Toc23112"/>
      <w:bookmarkStart w:id="65" w:name="_Toc28342"/>
      <w:r>
        <w:rPr>
          <w:rFonts w:hint="eastAsia" w:ascii="仿宋" w:hAnsi="仿宋" w:eastAsia="仿宋" w:cs="仿宋"/>
          <w:b/>
          <w:bCs/>
          <w:color w:val="auto"/>
        </w:rPr>
        <w:t>2.评价指标体系</w:t>
      </w:r>
      <w:bookmarkEnd w:id="64"/>
      <w:bookmarkEnd w:id="65"/>
    </w:p>
    <w:p>
      <w:pPr>
        <w:bidi w:val="0"/>
        <w:jc w:val="both"/>
        <w:rPr>
          <w:rFonts w:hint="eastAsia" w:ascii="仿宋" w:hAnsi="仿宋" w:eastAsia="仿宋" w:cs="仿宋"/>
          <w:color w:val="auto"/>
        </w:rPr>
      </w:pPr>
      <w:r>
        <w:rPr>
          <w:rFonts w:hint="eastAsia" w:ascii="仿宋" w:hAnsi="仿宋" w:eastAsia="仿宋" w:cs="仿宋"/>
          <w:color w:val="auto"/>
          <w:lang w:eastAsia="zh-CN"/>
        </w:rPr>
        <w:t>文化保护传承利用工程（第一批）中央基建 罗布人村寨旅游景区旅游基础设施</w:t>
      </w:r>
      <w:r>
        <w:rPr>
          <w:rFonts w:hint="eastAsia" w:ascii="仿宋" w:hAnsi="仿宋" w:eastAsia="仿宋" w:cs="仿宋"/>
          <w:color w:val="auto"/>
          <w:lang w:val="en-US" w:eastAsia="zh-CN"/>
        </w:rPr>
        <w:t>项目</w:t>
      </w:r>
      <w:r>
        <w:rPr>
          <w:rFonts w:hint="eastAsia" w:ascii="仿宋" w:hAnsi="仿宋" w:eastAsia="仿宋" w:cs="仿宋"/>
          <w:color w:val="auto"/>
        </w:rPr>
        <w:t>绩效评价（部门自评）指标体系的设计，是在充分掌握项目状况的基础上，形成了</w:t>
      </w:r>
      <w:r>
        <w:rPr>
          <w:rFonts w:hint="eastAsia" w:ascii="仿宋" w:hAnsi="仿宋" w:eastAsia="仿宋" w:cs="仿宋"/>
          <w:color w:val="auto"/>
          <w:lang w:eastAsia="zh-CN"/>
        </w:rPr>
        <w:t>文化保护传承利用工程（第一批）中央基建 罗布人村寨旅游景区旅游基础设施</w:t>
      </w:r>
      <w:r>
        <w:rPr>
          <w:rFonts w:hint="eastAsia" w:ascii="仿宋" w:hAnsi="仿宋" w:eastAsia="仿宋" w:cs="仿宋"/>
          <w:color w:val="auto"/>
          <w:lang w:val="en-US" w:eastAsia="zh-CN"/>
        </w:rPr>
        <w:t>项目</w:t>
      </w:r>
      <w:r>
        <w:rPr>
          <w:rFonts w:hint="eastAsia" w:ascii="仿宋" w:hAnsi="仿宋" w:eastAsia="仿宋" w:cs="仿宋"/>
          <w:color w:val="auto"/>
        </w:rPr>
        <w:t>的项目支出绩效评价指标体系（部门自评）。本项目设计绩效评价指标体系满分100分。四个级别分别是：优、良、中、差，90（含）-100分为优、80（含）-90分为良、60（含）-80分为中、60分以下为差。</w:t>
      </w:r>
    </w:p>
    <w:p>
      <w:pPr>
        <w:bidi w:val="0"/>
        <w:rPr>
          <w:rFonts w:hint="eastAsia" w:ascii="仿宋" w:hAnsi="仿宋" w:eastAsia="仿宋" w:cs="仿宋"/>
          <w:color w:val="auto"/>
        </w:rPr>
      </w:pPr>
      <w:r>
        <w:rPr>
          <w:rFonts w:hint="eastAsia" w:ascii="仿宋" w:hAnsi="仿宋" w:eastAsia="仿宋" w:cs="仿宋"/>
          <w:color w:val="auto"/>
        </w:rPr>
        <w:t>按照财预〔2020〕10号文件关于“原则上产出、效益指标权重不低于60%”的要求，本项目产出、效益指标权重60%（即60分）。</w:t>
      </w:r>
      <w:bookmarkStart w:id="66" w:name="_Toc15680"/>
      <w:bookmarkStart w:id="67" w:name="_Toc10631"/>
    </w:p>
    <w:p>
      <w:pPr>
        <w:bidi w:val="0"/>
        <w:rPr>
          <w:rFonts w:hint="eastAsia" w:ascii="仿宋" w:hAnsi="仿宋" w:eastAsia="仿宋" w:cs="仿宋"/>
          <w:b/>
          <w:bCs/>
          <w:color w:val="auto"/>
        </w:rPr>
      </w:pPr>
      <w:r>
        <w:rPr>
          <w:rFonts w:hint="eastAsia" w:ascii="仿宋" w:hAnsi="仿宋" w:eastAsia="仿宋" w:cs="仿宋"/>
          <w:b/>
          <w:bCs/>
          <w:color w:val="auto"/>
        </w:rPr>
        <w:t>3.绩效评价方法</w:t>
      </w:r>
      <w:bookmarkEnd w:id="66"/>
      <w:bookmarkEnd w:id="67"/>
    </w:p>
    <w:p>
      <w:pPr>
        <w:rPr>
          <w:rFonts w:hint="eastAsia" w:ascii="仿宋" w:hAnsi="仿宋" w:eastAsia="仿宋" w:cs="仿宋"/>
          <w:lang w:val="en-US" w:eastAsia="zh-CN"/>
        </w:rPr>
      </w:pPr>
      <w:r>
        <w:rPr>
          <w:rFonts w:hint="eastAsia" w:ascii="仿宋" w:hAnsi="仿宋" w:eastAsia="仿宋" w:cs="仿宋"/>
        </w:rPr>
        <w:t>结合</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w:t>
      </w:r>
      <w:r>
        <w:rPr>
          <w:rFonts w:hint="eastAsia" w:ascii="仿宋" w:hAnsi="仿宋" w:eastAsia="仿宋" w:cs="仿宋"/>
        </w:rPr>
        <w:t>的特点，</w:t>
      </w:r>
      <w:r>
        <w:rPr>
          <w:rFonts w:hint="eastAsia" w:ascii="仿宋" w:hAnsi="仿宋" w:eastAsia="仿宋" w:cs="仿宋"/>
          <w:lang w:val="en-US" w:eastAsia="zh-CN"/>
        </w:rPr>
        <w:t>本项目绩效评价将项目实施情况即实际完成的产出、成本等指标与年初设定的目标值进行比较</w:t>
      </w:r>
      <w:r>
        <w:rPr>
          <w:rFonts w:hint="eastAsia" w:ascii="仿宋" w:hAnsi="仿宋" w:eastAsia="仿宋" w:cs="仿宋"/>
        </w:rPr>
        <w:t>。结合</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w:t>
      </w:r>
      <w:r>
        <w:rPr>
          <w:rFonts w:hint="eastAsia" w:ascii="仿宋" w:hAnsi="仿宋" w:eastAsia="仿宋" w:cs="仿宋"/>
        </w:rPr>
        <w:t>的特点，</w:t>
      </w:r>
      <w:r>
        <w:rPr>
          <w:rFonts w:hint="eastAsia" w:ascii="仿宋" w:hAnsi="仿宋" w:eastAsia="仿宋" w:cs="仿宋"/>
          <w:lang w:val="en-US" w:eastAsia="zh-CN"/>
        </w:rPr>
        <w:t>本次评价主要运用比较法、公众评判法、因素分析法，原因是：</w:t>
      </w:r>
    </w:p>
    <w:p>
      <w:pPr>
        <w:rPr>
          <w:rFonts w:hint="eastAsia" w:ascii="仿宋" w:hAnsi="仿宋" w:eastAsia="仿宋" w:cs="仿宋"/>
          <w:lang w:val="en-US" w:eastAsia="zh-CN"/>
        </w:rPr>
      </w:pPr>
      <w:r>
        <w:rPr>
          <w:rFonts w:hint="eastAsia" w:ascii="仿宋" w:hAnsi="仿宋" w:eastAsia="仿宋" w:cs="仿宋"/>
          <w:lang w:val="en-US" w:eastAsia="zh-CN"/>
        </w:rPr>
        <w:t>比较法：本项目绩效评价将项目实施情况即实际完成的建设驿站数量、安装智能系统数量、建设木栈道数量等指标与年初设定的目标值进行比较</w:t>
      </w:r>
      <w:r>
        <w:rPr>
          <w:rFonts w:hint="eastAsia" w:ascii="仿宋" w:hAnsi="仿宋" w:eastAsia="仿宋" w:cs="仿宋"/>
        </w:rPr>
        <w:t>。</w:t>
      </w:r>
    </w:p>
    <w:p>
      <w:pPr>
        <w:rPr>
          <w:rFonts w:hint="eastAsia" w:ascii="仿宋" w:hAnsi="仿宋" w:eastAsia="仿宋" w:cs="仿宋"/>
          <w:lang w:val="en-US" w:eastAsia="zh-CN"/>
        </w:rPr>
      </w:pPr>
      <w:r>
        <w:rPr>
          <w:rFonts w:hint="eastAsia" w:ascii="仿宋" w:hAnsi="仿宋" w:eastAsia="仿宋" w:cs="仿宋"/>
          <w:lang w:val="en-US" w:eastAsia="zh-CN"/>
        </w:rPr>
        <w:t>公共评判法：通过对</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项目进行问卷及抽样调查等方式，评价本项目实施后受益对象对项目实施效果的满意程度，对财政资金使用效果进行评判，评价绩效目标实现程度。</w:t>
      </w:r>
    </w:p>
    <w:p>
      <w:pPr>
        <w:rPr>
          <w:rFonts w:hint="eastAsia" w:ascii="仿宋" w:hAnsi="仿宋" w:eastAsia="仿宋" w:cs="仿宋"/>
          <w:color w:val="auto"/>
          <w:lang w:val="en-US" w:eastAsia="zh-CN"/>
        </w:rPr>
      </w:pPr>
      <w:r>
        <w:rPr>
          <w:rFonts w:hint="eastAsia" w:ascii="仿宋" w:hAnsi="仿宋" w:eastAsia="仿宋" w:cs="仿宋"/>
          <w:lang w:val="en-US" w:eastAsia="zh-CN"/>
        </w:rPr>
        <w:t>因素分析法：综合考量影响绩效目标实现、产出与效果的</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项目外部和内部因素，以进行全面的项目绩效评价。根据具体项目情况，精心</w:t>
      </w:r>
      <w:r>
        <w:rPr>
          <w:rFonts w:hint="eastAsia" w:ascii="仿宋" w:hAnsi="仿宋" w:eastAsia="仿宋" w:cs="仿宋"/>
          <w:color w:val="auto"/>
          <w:highlight w:val="none"/>
          <w:lang w:val="en-US" w:eastAsia="zh-CN"/>
        </w:rPr>
        <w:t>确定需要分析的因素，从而为项目决策提供有力支持。</w:t>
      </w:r>
    </w:p>
    <w:p>
      <w:pPr>
        <w:bidi w:val="0"/>
        <w:jc w:val="both"/>
        <w:rPr>
          <w:rFonts w:hint="eastAsia" w:ascii="仿宋" w:hAnsi="仿宋" w:eastAsia="仿宋" w:cs="仿宋"/>
          <w:b/>
          <w:bCs/>
          <w:color w:val="auto"/>
        </w:rPr>
      </w:pPr>
      <w:bookmarkStart w:id="68" w:name="_Toc15525"/>
      <w:bookmarkStart w:id="69" w:name="_Toc3155"/>
      <w:r>
        <w:rPr>
          <w:rFonts w:hint="eastAsia" w:ascii="仿宋" w:hAnsi="仿宋" w:eastAsia="仿宋" w:cs="仿宋"/>
          <w:b/>
          <w:bCs/>
          <w:color w:val="auto"/>
        </w:rPr>
        <w:t>4.绩效评价标准</w:t>
      </w:r>
      <w:bookmarkEnd w:id="68"/>
      <w:bookmarkEnd w:id="69"/>
    </w:p>
    <w:p>
      <w:pPr>
        <w:bidi w:val="0"/>
        <w:jc w:val="both"/>
        <w:rPr>
          <w:rFonts w:hint="eastAsia" w:ascii="仿宋" w:hAnsi="仿宋" w:eastAsia="仿宋" w:cs="仿宋"/>
          <w:color w:val="auto"/>
        </w:rPr>
      </w:pPr>
      <w:r>
        <w:rPr>
          <w:rFonts w:hint="eastAsia" w:ascii="仿宋" w:hAnsi="仿宋" w:eastAsia="仿宋" w:cs="仿宋"/>
          <w:color w:val="auto"/>
        </w:rPr>
        <w:t>绩效评价标准通常包括计划标准、行业标准、历史标准等，用于对绩效指标完成情况进行比较。</w:t>
      </w:r>
    </w:p>
    <w:p>
      <w:pPr>
        <w:pStyle w:val="16"/>
        <w:jc w:val="both"/>
        <w:rPr>
          <w:rFonts w:hint="eastAsia" w:ascii="仿宋" w:hAnsi="仿宋" w:eastAsia="仿宋" w:cs="仿宋"/>
          <w:color w:val="auto"/>
          <w:highlight w:val="none"/>
        </w:rPr>
      </w:pPr>
      <w:r>
        <w:rPr>
          <w:rFonts w:hint="eastAsia" w:ascii="仿宋" w:hAnsi="仿宋" w:eastAsia="仿宋" w:cs="仿宋"/>
          <w:color w:val="auto"/>
          <w:highlight w:val="none"/>
        </w:rPr>
        <w:t>结合</w:t>
      </w:r>
      <w:r>
        <w:rPr>
          <w:rFonts w:hint="eastAsia" w:ascii="仿宋" w:hAnsi="仿宋" w:eastAsia="仿宋" w:cs="仿宋"/>
          <w:color w:val="auto"/>
          <w:highlight w:val="none"/>
          <w:lang w:eastAsia="zh-CN"/>
        </w:rPr>
        <w:t>文化保护传承利用工程（第一批）中央基建 罗布人村寨旅游景区旅游基础设施</w:t>
      </w:r>
      <w:r>
        <w:rPr>
          <w:rFonts w:hint="eastAsia" w:ascii="仿宋" w:hAnsi="仿宋" w:eastAsia="仿宋" w:cs="仿宋"/>
          <w:color w:val="auto"/>
          <w:highlight w:val="none"/>
          <w:lang w:val="en-US" w:eastAsia="zh-CN"/>
        </w:rPr>
        <w:t>项目</w:t>
      </w:r>
      <w:r>
        <w:rPr>
          <w:rFonts w:hint="eastAsia" w:ascii="仿宋" w:hAnsi="仿宋" w:eastAsia="仿宋" w:cs="仿宋"/>
          <w:color w:val="auto"/>
          <w:highlight w:val="none"/>
        </w:rPr>
        <w:t>的特点，</w:t>
      </w:r>
      <w:bookmarkStart w:id="70" w:name="_Toc15381"/>
      <w:bookmarkStart w:id="71" w:name="_Toc17851"/>
      <w:bookmarkStart w:id="72" w:name="_Toc26411"/>
      <w:bookmarkStart w:id="73" w:name="_Toc30219"/>
      <w:r>
        <w:rPr>
          <w:rFonts w:hint="eastAsia" w:ascii="仿宋" w:hAnsi="仿宋" w:eastAsia="仿宋" w:cs="仿宋"/>
          <w:bCs/>
          <w:color w:val="auto"/>
          <w:kern w:val="2"/>
          <w:sz w:val="32"/>
          <w:szCs w:val="32"/>
          <w:highlight w:val="none"/>
          <w:lang w:val="en-US" w:eastAsia="zh-CN" w:bidi="ar-SA"/>
        </w:rPr>
        <w:t>本项目绩效评价以预先制定的建设驿站数量、安装智能系统数量、建设木栈道数量为计划数作为评价标准；同时参照</w:t>
      </w:r>
      <w:r>
        <w:rPr>
          <w:rFonts w:hint="eastAsia" w:ascii="仿宋" w:hAnsi="仿宋" w:eastAsia="仿宋" w:cs="仿宋"/>
          <w:b w:val="0"/>
          <w:color w:val="auto"/>
          <w:kern w:val="2"/>
          <w:sz w:val="32"/>
          <w:szCs w:val="22"/>
          <w:highlight w:val="none"/>
          <w:lang w:val="en-US" w:eastAsia="zh-CN" w:bidi="ar-SA"/>
        </w:rPr>
        <w:t>有关同类项目建设的行业标准</w:t>
      </w:r>
      <w:r>
        <w:rPr>
          <w:rFonts w:hint="eastAsia" w:ascii="仿宋" w:hAnsi="仿宋" w:eastAsia="仿宋" w:cs="仿宋"/>
          <w:bCs/>
          <w:color w:val="auto"/>
          <w:kern w:val="2"/>
          <w:sz w:val="32"/>
          <w:szCs w:val="32"/>
          <w:highlight w:val="none"/>
          <w:lang w:val="en-US" w:eastAsia="zh-CN" w:bidi="ar-SA"/>
        </w:rPr>
        <w:t>来制定评价标准。因此，采取的绩效评价标准为：计划标准、行业标准。</w:t>
      </w:r>
    </w:p>
    <w:p>
      <w:pPr>
        <w:pStyle w:val="4"/>
        <w:bidi w:val="0"/>
        <w:jc w:val="both"/>
        <w:outlineLvl w:val="1"/>
        <w:rPr>
          <w:rFonts w:hint="eastAsia" w:ascii="仿宋" w:hAnsi="仿宋" w:eastAsia="仿宋" w:cs="仿宋"/>
          <w:b/>
          <w:color w:val="auto"/>
        </w:rPr>
      </w:pPr>
      <w:bookmarkStart w:id="74" w:name="_Toc17306"/>
      <w:r>
        <w:rPr>
          <w:rFonts w:hint="eastAsia" w:ascii="仿宋" w:hAnsi="仿宋" w:eastAsia="仿宋" w:cs="仿宋"/>
          <w:b/>
          <w:color w:val="auto"/>
        </w:rPr>
        <w:t>（三）绩效评价工作过程</w:t>
      </w:r>
      <w:bookmarkEnd w:id="70"/>
      <w:bookmarkEnd w:id="71"/>
      <w:bookmarkEnd w:id="72"/>
      <w:bookmarkEnd w:id="73"/>
      <w:bookmarkEnd w:id="74"/>
    </w:p>
    <w:p>
      <w:pPr>
        <w:bidi w:val="0"/>
        <w:jc w:val="both"/>
        <w:rPr>
          <w:rFonts w:hint="eastAsia" w:ascii="仿宋" w:hAnsi="仿宋" w:eastAsia="仿宋" w:cs="仿宋"/>
          <w:b/>
          <w:bCs/>
          <w:color w:val="auto"/>
        </w:rPr>
      </w:pPr>
      <w:bookmarkStart w:id="75" w:name="_Toc30911"/>
      <w:bookmarkStart w:id="76" w:name="_Toc27442"/>
      <w:bookmarkStart w:id="77" w:name="_Toc31054"/>
      <w:bookmarkStart w:id="78" w:name="_Toc17595"/>
      <w:bookmarkStart w:id="79" w:name="_Toc22987"/>
      <w:r>
        <w:rPr>
          <w:rFonts w:hint="eastAsia" w:ascii="仿宋" w:hAnsi="仿宋" w:eastAsia="仿宋" w:cs="仿宋"/>
          <w:b/>
          <w:bCs/>
          <w:color w:val="auto"/>
        </w:rPr>
        <w:t>1.前期准备</w:t>
      </w:r>
      <w:bookmarkEnd w:id="75"/>
      <w:bookmarkEnd w:id="76"/>
      <w:bookmarkEnd w:id="77"/>
      <w:bookmarkEnd w:id="78"/>
      <w:bookmarkEnd w:id="79"/>
      <w:r>
        <w:rPr>
          <w:rFonts w:hint="eastAsia" w:ascii="仿宋" w:hAnsi="仿宋" w:eastAsia="仿宋" w:cs="仿宋"/>
          <w:b/>
          <w:bCs/>
          <w:color w:val="auto"/>
        </w:rPr>
        <w:t>（2025年2月10日-2025年2月28日）</w:t>
      </w:r>
    </w:p>
    <w:p>
      <w:pPr>
        <w:rPr>
          <w:rFonts w:hint="eastAsia" w:ascii="仿宋" w:hAnsi="仿宋" w:eastAsia="仿宋" w:cs="仿宋"/>
        </w:rPr>
      </w:pPr>
      <w:bookmarkStart w:id="80" w:name="_Toc2579"/>
      <w:r>
        <w:rPr>
          <w:rFonts w:hint="eastAsia" w:ascii="仿宋" w:hAnsi="仿宋" w:eastAsia="仿宋" w:cs="仿宋"/>
          <w:bCs/>
          <w:color w:val="auto"/>
          <w:szCs w:val="32"/>
          <w:highlight w:val="none"/>
        </w:rPr>
        <w:t>按照《项目支出绩效评价管理办法》（财预〔2020〕10号）文件要求，</w:t>
      </w:r>
      <w:r>
        <w:rPr>
          <w:rFonts w:hint="eastAsia" w:ascii="仿宋" w:hAnsi="仿宋" w:eastAsia="仿宋" w:cs="仿宋"/>
          <w:color w:val="auto"/>
          <w:lang w:val="en-US" w:eastAsia="zh-CN"/>
        </w:rPr>
        <w:t>尉犁</w:t>
      </w:r>
      <w:r>
        <w:rPr>
          <w:rFonts w:hint="eastAsia" w:ascii="仿宋" w:hAnsi="仿宋" w:eastAsia="仿宋" w:cs="仿宋"/>
          <w:color w:val="auto"/>
        </w:rPr>
        <w:t>县</w:t>
      </w:r>
      <w:r>
        <w:rPr>
          <w:rFonts w:hint="eastAsia" w:ascii="仿宋" w:hAnsi="仿宋" w:eastAsia="仿宋" w:cs="仿宋"/>
          <w:color w:val="auto"/>
          <w:lang w:val="en-US" w:eastAsia="zh-CN"/>
        </w:rPr>
        <w:t>尉犁县文化体育广播影视局(旅游局)</w:t>
      </w:r>
      <w:r>
        <w:rPr>
          <w:rFonts w:hint="eastAsia" w:ascii="仿宋" w:hAnsi="仿宋" w:eastAsia="仿宋" w:cs="仿宋"/>
          <w:bCs/>
          <w:color w:val="auto"/>
          <w:szCs w:val="32"/>
          <w:highlight w:val="none"/>
        </w:rPr>
        <w:t>成立了绩效评价小组，对项目实施的全过程，收集、整理项目实施的相关资料，了解项目实施情况和资金支付情况。从</w:t>
      </w:r>
      <w:r>
        <w:rPr>
          <w:rFonts w:hint="eastAsia" w:ascii="仿宋" w:hAnsi="仿宋" w:eastAsia="仿宋" w:cs="仿宋"/>
        </w:rPr>
        <w:t>项目内容出发，结合项目预期目标，制定绩效评价的指标体系。绩效评价工作小组人员名单及分工如下：</w:t>
      </w:r>
    </w:p>
    <w:p>
      <w:pPr>
        <w:rPr>
          <w:rFonts w:hint="eastAsia" w:ascii="仿宋" w:hAnsi="仿宋" w:eastAsia="仿宋" w:cs="仿宋"/>
        </w:rPr>
      </w:pPr>
      <w:r>
        <w:rPr>
          <w:rFonts w:hint="eastAsia" w:ascii="仿宋" w:hAnsi="仿宋" w:eastAsia="仿宋" w:cs="仿宋"/>
        </w:rPr>
        <w:t>评价小组组长：</w:t>
      </w:r>
      <w:r>
        <w:rPr>
          <w:rFonts w:hint="eastAsia" w:ascii="仿宋" w:hAnsi="仿宋" w:eastAsia="仿宋" w:cs="仿宋"/>
          <w:lang w:val="en-US" w:eastAsia="zh-CN"/>
        </w:rPr>
        <w:t>阿依古再丽</w:t>
      </w:r>
      <w:r>
        <w:rPr>
          <w:rFonts w:hint="eastAsia" w:ascii="仿宋" w:hAnsi="仿宋" w:eastAsia="仿宋" w:cs="仿宋"/>
        </w:rPr>
        <w:t>，主要负责协调相关科室、部门对项目整体运行情况进行验收、评估。</w:t>
      </w:r>
    </w:p>
    <w:p>
      <w:pPr>
        <w:rPr>
          <w:rFonts w:hint="eastAsia" w:ascii="仿宋" w:hAnsi="仿宋" w:eastAsia="仿宋" w:cs="仿宋"/>
        </w:rPr>
      </w:pPr>
      <w:r>
        <w:rPr>
          <w:rFonts w:hint="eastAsia" w:ascii="仿宋" w:hAnsi="仿宋" w:eastAsia="仿宋" w:cs="仿宋"/>
        </w:rPr>
        <w:t>评价小组组员：</w:t>
      </w:r>
      <w:r>
        <w:rPr>
          <w:rFonts w:hint="eastAsia" w:ascii="仿宋" w:hAnsi="仿宋" w:eastAsia="仿宋" w:cs="仿宋"/>
          <w:lang w:val="en-US" w:eastAsia="zh-CN"/>
        </w:rPr>
        <w:t>涂小雪</w:t>
      </w:r>
      <w:r>
        <w:rPr>
          <w:rFonts w:hint="eastAsia" w:ascii="仿宋" w:hAnsi="仿宋" w:eastAsia="仿宋" w:cs="仿宋"/>
        </w:rPr>
        <w:t>，主要负责制定评价指标体系及评价标准。</w:t>
      </w:r>
    </w:p>
    <w:p>
      <w:pPr>
        <w:rPr>
          <w:rFonts w:hint="eastAsia" w:ascii="仿宋" w:hAnsi="仿宋" w:eastAsia="仿宋" w:cs="仿宋"/>
          <w:bCs/>
          <w:color w:val="auto"/>
          <w:szCs w:val="32"/>
          <w:highlight w:val="none"/>
        </w:rPr>
      </w:pPr>
      <w:r>
        <w:rPr>
          <w:rFonts w:hint="eastAsia" w:ascii="仿宋" w:hAnsi="仿宋" w:eastAsia="仿宋" w:cs="仿宋"/>
        </w:rPr>
        <w:t>评价小组组员：</w:t>
      </w:r>
      <w:r>
        <w:rPr>
          <w:rFonts w:hint="eastAsia" w:ascii="仿宋" w:hAnsi="仿宋" w:eastAsia="仿宋" w:cs="仿宋"/>
          <w:lang w:val="en-US" w:eastAsia="zh-CN"/>
        </w:rPr>
        <w:t>帕提古丽·阿西木</w:t>
      </w:r>
      <w:r>
        <w:rPr>
          <w:rFonts w:hint="eastAsia" w:ascii="仿宋" w:hAnsi="仿宋" w:eastAsia="仿宋" w:cs="仿宋"/>
        </w:rPr>
        <w:t>，主要负责</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rPr>
        <w:t>项目实施、监督、评估工作。</w:t>
      </w:r>
    </w:p>
    <w:p>
      <w:pPr>
        <w:bidi w:val="0"/>
        <w:jc w:val="both"/>
        <w:rPr>
          <w:rFonts w:hint="eastAsia" w:ascii="仿宋" w:hAnsi="仿宋" w:eastAsia="仿宋" w:cs="仿宋"/>
          <w:b/>
          <w:bCs/>
          <w:color w:val="auto"/>
        </w:rPr>
      </w:pPr>
      <w:r>
        <w:rPr>
          <w:rFonts w:hint="eastAsia" w:ascii="仿宋" w:hAnsi="仿宋" w:eastAsia="仿宋" w:cs="仿宋"/>
          <w:b/>
          <w:bCs/>
          <w:color w:val="auto"/>
        </w:rPr>
        <w:t>2.组织实施</w:t>
      </w:r>
      <w:bookmarkEnd w:id="80"/>
      <w:r>
        <w:rPr>
          <w:rFonts w:hint="eastAsia" w:ascii="仿宋" w:hAnsi="仿宋" w:eastAsia="仿宋" w:cs="仿宋"/>
          <w:b/>
          <w:bCs/>
          <w:color w:val="auto"/>
        </w:rPr>
        <w:t>（2025年3月1日-2025年3月10日）</w:t>
      </w:r>
    </w:p>
    <w:p>
      <w:pPr>
        <w:bidi w:val="0"/>
        <w:jc w:val="both"/>
        <w:rPr>
          <w:rFonts w:hint="eastAsia" w:ascii="仿宋" w:hAnsi="仿宋" w:eastAsia="仿宋" w:cs="仿宋"/>
          <w:color w:val="auto"/>
        </w:rPr>
      </w:pPr>
      <w:r>
        <w:rPr>
          <w:rFonts w:hint="eastAsia" w:ascii="仿宋" w:hAnsi="仿宋" w:eastAsia="仿宋" w:cs="仿宋"/>
          <w:color w:val="auto"/>
        </w:rPr>
        <w:t>评价的具体实施根据评价指标及评价工作要求，对具体评价内容和不同环节，采用以下取得的资料与评价方式。</w:t>
      </w:r>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（1）</w:t>
      </w:r>
      <w:r>
        <w:rPr>
          <w:rFonts w:hint="eastAsia" w:ascii="仿宋" w:hAnsi="仿宋" w:eastAsia="仿宋" w:cs="仿宋"/>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2</w:t>
      </w:r>
      <w:r>
        <w:rPr>
          <w:rFonts w:hint="eastAsia" w:ascii="仿宋" w:hAnsi="仿宋" w:eastAsia="仿宋" w:cs="仿宋"/>
          <w:color w:val="auto"/>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3</w:t>
      </w:r>
      <w:r>
        <w:rPr>
          <w:rFonts w:hint="eastAsia" w:ascii="仿宋" w:hAnsi="仿宋" w:eastAsia="仿宋" w:cs="仿宋"/>
          <w:color w:val="auto"/>
        </w:rPr>
        <w:t>）问卷调查。选择与项目评价有关的调查对象，设计调查问卷。通过问卷调查，对有关评价内容完成情况进行打分，并根据分值评价绩效目标完成情况，作为对项目评价的依据。</w:t>
      </w:r>
    </w:p>
    <w:p>
      <w:pPr>
        <w:bidi w:val="0"/>
        <w:jc w:val="both"/>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4</w:t>
      </w:r>
      <w:r>
        <w:rPr>
          <w:rFonts w:hint="eastAsia" w:ascii="仿宋" w:hAnsi="仿宋" w:eastAsia="仿宋" w:cs="仿宋"/>
          <w:color w:val="auto"/>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hint="eastAsia" w:ascii="仿宋" w:hAnsi="仿宋" w:eastAsia="仿宋" w:cs="仿宋"/>
          <w:b/>
          <w:bCs/>
          <w:color w:val="auto"/>
        </w:rPr>
      </w:pPr>
      <w:bookmarkStart w:id="81" w:name="_Toc19781"/>
      <w:r>
        <w:rPr>
          <w:rFonts w:hint="eastAsia" w:ascii="仿宋" w:hAnsi="仿宋" w:eastAsia="仿宋" w:cs="仿宋"/>
          <w:b/>
          <w:bCs/>
          <w:color w:val="auto"/>
        </w:rPr>
        <w:t>3.数据集中分析</w:t>
      </w:r>
      <w:bookmarkEnd w:id="81"/>
      <w:r>
        <w:rPr>
          <w:rFonts w:hint="eastAsia" w:ascii="仿宋" w:hAnsi="仿宋" w:eastAsia="仿宋" w:cs="仿宋"/>
          <w:b/>
          <w:bCs/>
          <w:color w:val="auto"/>
        </w:rPr>
        <w:t>（2025年3月11日-2025年3月20日）</w:t>
      </w:r>
    </w:p>
    <w:p>
      <w:pPr>
        <w:bidi w:val="0"/>
        <w:jc w:val="both"/>
        <w:rPr>
          <w:rFonts w:hint="eastAsia" w:ascii="仿宋" w:hAnsi="仿宋" w:eastAsia="仿宋" w:cs="仿宋"/>
          <w:color w:val="auto"/>
        </w:rPr>
      </w:pPr>
      <w:r>
        <w:rPr>
          <w:rFonts w:hint="eastAsia" w:ascii="仿宋" w:hAnsi="仿宋" w:eastAsia="仿宋" w:cs="仿宋"/>
          <w:color w:val="auto"/>
        </w:rPr>
        <w:t>对相关资料，包括资金文件、项目实施方案、相关管理办法，问卷调查等进行集中分析。在查阅大量项目资料的基础上，根据考察、考评的结果进行整理、分析。</w:t>
      </w:r>
    </w:p>
    <w:p>
      <w:pPr>
        <w:bidi w:val="0"/>
        <w:jc w:val="both"/>
        <w:rPr>
          <w:rFonts w:hint="eastAsia" w:ascii="仿宋" w:hAnsi="仿宋" w:eastAsia="仿宋" w:cs="仿宋"/>
          <w:b/>
          <w:bCs/>
          <w:color w:val="auto"/>
        </w:rPr>
      </w:pPr>
      <w:bookmarkStart w:id="82" w:name="_Toc5021"/>
      <w:r>
        <w:rPr>
          <w:rFonts w:hint="eastAsia" w:ascii="仿宋" w:hAnsi="仿宋" w:eastAsia="仿宋" w:cs="仿宋"/>
          <w:b/>
          <w:bCs/>
          <w:color w:val="auto"/>
        </w:rPr>
        <w:t>4.分析总结</w:t>
      </w:r>
      <w:bookmarkEnd w:id="82"/>
      <w:r>
        <w:rPr>
          <w:rFonts w:hint="eastAsia" w:ascii="仿宋" w:hAnsi="仿宋" w:eastAsia="仿宋" w:cs="仿宋"/>
          <w:b/>
          <w:bCs/>
          <w:color w:val="auto"/>
        </w:rPr>
        <w:t>（2025年3月21日-2025年3月31日）</w:t>
      </w:r>
    </w:p>
    <w:p>
      <w:pPr>
        <w:bidi w:val="0"/>
        <w:jc w:val="both"/>
        <w:rPr>
          <w:rFonts w:hint="eastAsia" w:ascii="仿宋" w:hAnsi="仿宋" w:eastAsia="仿宋" w:cs="仿宋"/>
          <w:color w:val="auto"/>
        </w:rPr>
      </w:pPr>
      <w:r>
        <w:rPr>
          <w:rFonts w:hint="eastAsia" w:ascii="仿宋" w:hAnsi="仿宋" w:eastAsia="仿宋" w:cs="仿宋"/>
          <w:color w:val="auto"/>
        </w:rPr>
        <w:t>（1）根据部门自评的意见及考察、考评的结果进行整理、分析，撰写绩效评价报告初稿；</w:t>
      </w:r>
    </w:p>
    <w:p>
      <w:pPr>
        <w:bidi w:val="0"/>
        <w:jc w:val="both"/>
        <w:rPr>
          <w:rFonts w:hint="eastAsia" w:ascii="仿宋" w:hAnsi="仿宋" w:eastAsia="仿宋" w:cs="仿宋"/>
          <w:color w:val="auto"/>
        </w:rPr>
      </w:pPr>
      <w:r>
        <w:rPr>
          <w:rFonts w:hint="eastAsia" w:ascii="仿宋" w:hAnsi="仿宋" w:eastAsia="仿宋" w:cs="仿宋"/>
          <w:color w:val="auto"/>
        </w:rPr>
        <w:t>（2）就</w:t>
      </w:r>
      <w:r>
        <w:rPr>
          <w:rFonts w:hint="eastAsia" w:ascii="仿宋" w:hAnsi="仿宋" w:eastAsia="仿宋" w:cs="仿宋"/>
          <w:color w:val="auto"/>
          <w:highlight w:val="none"/>
        </w:rPr>
        <w:t>部门</w:t>
      </w:r>
      <w:r>
        <w:rPr>
          <w:rFonts w:hint="eastAsia" w:ascii="仿宋" w:hAnsi="仿宋" w:eastAsia="仿宋" w:cs="仿宋"/>
          <w:color w:val="auto"/>
        </w:rPr>
        <w:t>自评报告与部门具体有关股室征求意见，形成最终的绩效评价报告。</w:t>
      </w:r>
    </w:p>
    <w:p>
      <w:pPr>
        <w:bidi w:val="0"/>
        <w:jc w:val="both"/>
        <w:rPr>
          <w:rFonts w:hint="eastAsia" w:ascii="仿宋" w:hAnsi="仿宋" w:eastAsia="仿宋" w:cs="仿宋"/>
          <w:b/>
          <w:bCs/>
          <w:color w:val="auto"/>
        </w:rPr>
      </w:pPr>
      <w:r>
        <w:rPr>
          <w:rFonts w:hint="eastAsia" w:ascii="仿宋" w:hAnsi="仿宋" w:eastAsia="仿宋" w:cs="仿宋"/>
          <w:b/>
          <w:bCs/>
          <w:color w:val="auto"/>
        </w:rPr>
        <w:t>5.问题整改</w:t>
      </w:r>
    </w:p>
    <w:p>
      <w:pPr>
        <w:bidi w:val="0"/>
        <w:jc w:val="both"/>
        <w:rPr>
          <w:rFonts w:hint="eastAsia" w:ascii="仿宋" w:hAnsi="仿宋" w:eastAsia="仿宋" w:cs="仿宋"/>
          <w:color w:val="auto"/>
        </w:rPr>
      </w:pPr>
      <w:r>
        <w:rPr>
          <w:rFonts w:hint="eastAsia" w:ascii="仿宋" w:hAnsi="仿宋" w:eastAsia="仿宋" w:cs="仿宋"/>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jc w:val="both"/>
        <w:rPr>
          <w:rFonts w:hint="eastAsia" w:ascii="仿宋" w:hAnsi="仿宋" w:eastAsia="仿宋" w:cs="仿宋"/>
          <w:b/>
          <w:bCs/>
          <w:color w:val="auto"/>
        </w:rPr>
      </w:pPr>
      <w:r>
        <w:rPr>
          <w:rFonts w:hint="eastAsia" w:ascii="仿宋" w:hAnsi="仿宋" w:eastAsia="仿宋" w:cs="仿宋"/>
          <w:b/>
          <w:bCs/>
          <w:color w:val="auto"/>
        </w:rPr>
        <w:t>6.档案整理</w:t>
      </w:r>
    </w:p>
    <w:p>
      <w:pPr>
        <w:bidi w:val="0"/>
        <w:jc w:val="both"/>
        <w:rPr>
          <w:rFonts w:hint="eastAsia" w:ascii="仿宋" w:hAnsi="仿宋" w:eastAsia="仿宋" w:cs="仿宋"/>
          <w:color w:val="auto"/>
        </w:rPr>
      </w:pPr>
      <w:r>
        <w:rPr>
          <w:rFonts w:hint="eastAsia" w:ascii="仿宋" w:hAnsi="仿宋" w:eastAsia="仿宋" w:cs="仿宋"/>
          <w:color w:val="auto"/>
        </w:rPr>
        <w:t>建立和落实档案管理制度，将项目相关资料存档，包括但不限于：评价项目基本情况和相关文件、评价实施方案、项目支付资料等相关档案。</w:t>
      </w:r>
    </w:p>
    <w:p>
      <w:pPr>
        <w:pStyle w:val="3"/>
        <w:bidi w:val="0"/>
        <w:jc w:val="both"/>
        <w:outlineLvl w:val="0"/>
        <w:rPr>
          <w:rFonts w:hint="eastAsia" w:ascii="仿宋" w:hAnsi="仿宋" w:eastAsia="仿宋" w:cs="仿宋"/>
          <w:color w:val="auto"/>
        </w:rPr>
      </w:pPr>
      <w:bookmarkStart w:id="83" w:name="_Toc1808"/>
      <w:bookmarkStart w:id="84" w:name="_Toc32641"/>
      <w:bookmarkStart w:id="85" w:name="_Toc21627"/>
      <w:bookmarkStart w:id="86" w:name="_Toc29062"/>
      <w:bookmarkStart w:id="87" w:name="_Toc31058"/>
      <w:bookmarkStart w:id="88" w:name="_Toc25201"/>
      <w:r>
        <w:rPr>
          <w:rFonts w:hint="eastAsia" w:ascii="仿宋" w:hAnsi="仿宋" w:eastAsia="仿宋" w:cs="仿宋"/>
          <w:color w:val="auto"/>
        </w:rPr>
        <w:t>三、综合评价情况及评价结论</w:t>
      </w:r>
      <w:bookmarkEnd w:id="83"/>
      <w:bookmarkEnd w:id="84"/>
      <w:bookmarkEnd w:id="85"/>
      <w:bookmarkEnd w:id="86"/>
      <w:bookmarkEnd w:id="87"/>
      <w:bookmarkEnd w:id="88"/>
    </w:p>
    <w:p>
      <w:pPr>
        <w:rPr>
          <w:rFonts w:hint="eastAsia" w:ascii="仿宋" w:hAnsi="仿宋" w:eastAsia="仿宋" w:cs="仿宋"/>
          <w:lang w:val="en-US" w:eastAsia="zh-CN"/>
        </w:rPr>
      </w:pPr>
      <w:r>
        <w:rPr>
          <w:rFonts w:hint="eastAsia" w:ascii="仿宋" w:hAnsi="仿宋" w:eastAsia="仿宋" w:cs="仿宋"/>
          <w:color w:val="auto"/>
          <w:highlight w:val="none"/>
        </w:rPr>
        <w:t>本项目的绩效评价结果为“优”，综合评分</w:t>
      </w:r>
      <w:r>
        <w:rPr>
          <w:rFonts w:hint="eastAsia" w:ascii="仿宋" w:hAnsi="仿宋" w:eastAsia="仿宋" w:cs="仿宋"/>
          <w:color w:val="auto"/>
          <w:highlight w:val="none"/>
          <w:lang w:val="en-US" w:eastAsia="zh-CN"/>
        </w:rPr>
        <w:t>94.86</w:t>
      </w:r>
      <w:r>
        <w:rPr>
          <w:rFonts w:hint="eastAsia" w:ascii="仿宋" w:hAnsi="仿宋" w:eastAsia="仿宋" w:cs="仿宋"/>
          <w:color w:val="auto"/>
          <w:highlight w:val="none"/>
        </w:rPr>
        <w:t>分。其中项目决策22分，项目过程1</w:t>
      </w:r>
      <w:r>
        <w:rPr>
          <w:rFonts w:hint="eastAsia" w:ascii="仿宋" w:hAnsi="仿宋" w:eastAsia="仿宋" w:cs="仿宋"/>
          <w:color w:val="auto"/>
          <w:highlight w:val="none"/>
          <w:lang w:val="en-US" w:eastAsia="zh-CN"/>
        </w:rPr>
        <w:t>7.86</w:t>
      </w:r>
      <w:r>
        <w:rPr>
          <w:rFonts w:hint="eastAsia" w:ascii="仿宋" w:hAnsi="仿宋" w:eastAsia="仿宋" w:cs="仿宋"/>
          <w:color w:val="auto"/>
          <w:highlight w:val="none"/>
        </w:rPr>
        <w:t>分，项目产出管理得分</w:t>
      </w:r>
      <w:r>
        <w:rPr>
          <w:rFonts w:hint="eastAsia" w:ascii="仿宋" w:hAnsi="仿宋" w:eastAsia="仿宋" w:cs="仿宋"/>
          <w:color w:val="auto"/>
          <w:highlight w:val="none"/>
          <w:lang w:val="en-US" w:eastAsia="zh-CN"/>
        </w:rPr>
        <w:t>35</w:t>
      </w:r>
      <w:r>
        <w:rPr>
          <w:rFonts w:hint="eastAsia" w:ascii="仿宋" w:hAnsi="仿宋" w:eastAsia="仿宋" w:cs="仿宋"/>
        </w:rPr>
        <w:t>分，项目效益20分</w:t>
      </w:r>
      <w:r>
        <w:rPr>
          <w:rFonts w:hint="eastAsia" w:ascii="仿宋" w:hAnsi="仿宋" w:eastAsia="仿宋" w:cs="仿宋"/>
          <w:lang w:val="en-US" w:eastAsia="zh-CN"/>
        </w:rPr>
        <w:t>。具体扣分项：1.</w:t>
      </w:r>
      <w:r>
        <w:rPr>
          <w:rFonts w:hint="eastAsia" w:ascii="仿宋" w:hAnsi="仿宋" w:eastAsia="仿宋" w:cs="仿宋"/>
        </w:rPr>
        <w:t>本项目到位资金</w:t>
      </w:r>
      <w:r>
        <w:rPr>
          <w:rFonts w:hint="eastAsia" w:ascii="仿宋" w:hAnsi="仿宋" w:eastAsia="仿宋" w:cs="仿宋"/>
          <w:lang w:val="en-US" w:eastAsia="zh-CN"/>
        </w:rPr>
        <w:t>906.00</w:t>
      </w:r>
      <w:r>
        <w:rPr>
          <w:rFonts w:hint="eastAsia" w:ascii="仿宋" w:hAnsi="仿宋" w:eastAsia="仿宋" w:cs="仿宋"/>
        </w:rPr>
        <w:t>万元，实际支付资金</w:t>
      </w:r>
      <w:r>
        <w:rPr>
          <w:rFonts w:hint="eastAsia" w:ascii="仿宋" w:hAnsi="仿宋" w:eastAsia="仿宋" w:cs="仿宋"/>
          <w:lang w:val="en-US" w:eastAsia="zh-CN"/>
        </w:rPr>
        <w:t>878.08</w:t>
      </w:r>
      <w:r>
        <w:rPr>
          <w:rFonts w:hint="eastAsia" w:ascii="仿宋" w:hAnsi="仿宋" w:eastAsia="仿宋" w:cs="仿宋"/>
        </w:rPr>
        <w:t>万元，预算执行率为</w:t>
      </w:r>
      <w:r>
        <w:rPr>
          <w:rFonts w:hint="eastAsia" w:ascii="仿宋" w:hAnsi="仿宋" w:eastAsia="仿宋" w:cs="仿宋"/>
          <w:lang w:val="en-US" w:eastAsia="zh-CN"/>
        </w:rPr>
        <w:t>96.62</w:t>
      </w:r>
      <w:r>
        <w:rPr>
          <w:rFonts w:hint="eastAsia" w:ascii="仿宋" w:hAnsi="仿宋" w:eastAsia="仿宋" w:cs="仿宋"/>
        </w:rPr>
        <w:t>%。</w:t>
      </w:r>
      <w:r>
        <w:rPr>
          <w:rFonts w:hint="eastAsia" w:ascii="仿宋" w:hAnsi="仿宋" w:eastAsia="仿宋" w:cs="仿宋"/>
          <w:lang w:val="en-US" w:eastAsia="zh-CN"/>
        </w:rPr>
        <w:t>原因：截止2024年底，项目尚未完结，资金未支付完毕。</w:t>
      </w:r>
    </w:p>
    <w:p>
      <w:pPr>
        <w:ind w:left="0" w:leftChars="0" w:firstLine="0" w:firstLineChars="0"/>
        <w:rPr>
          <w:rFonts w:hint="eastAsia" w:ascii="仿宋" w:hAnsi="仿宋" w:eastAsia="仿宋" w:cs="仿宋"/>
          <w:color w:val="auto"/>
          <w:highlight w:val="none"/>
        </w:rPr>
      </w:pPr>
      <w:r>
        <w:rPr>
          <w:rFonts w:hint="eastAsia" w:ascii="仿宋" w:hAnsi="仿宋" w:eastAsia="仿宋" w:cs="仿宋"/>
        </w:rPr>
        <w:t>本项满分4分，评估得分</w:t>
      </w:r>
      <w:r>
        <w:rPr>
          <w:rFonts w:hint="eastAsia" w:ascii="仿宋" w:hAnsi="仿宋" w:eastAsia="仿宋" w:cs="仿宋"/>
          <w:lang w:val="en-US" w:eastAsia="zh-CN"/>
        </w:rPr>
        <w:t>3.86</w:t>
      </w:r>
      <w:r>
        <w:rPr>
          <w:rFonts w:hint="eastAsia" w:ascii="仿宋" w:hAnsi="仿宋" w:eastAsia="仿宋" w:cs="仿宋"/>
        </w:rPr>
        <w:t>分。</w:t>
      </w:r>
      <w:r>
        <w:rPr>
          <w:rFonts w:hint="eastAsia" w:ascii="仿宋" w:hAnsi="仿宋" w:eastAsia="仿宋" w:cs="仿宋"/>
          <w:lang w:val="en-US" w:eastAsia="zh-CN"/>
        </w:rPr>
        <w:t>2.建设驿站数量</w:t>
      </w:r>
      <w:r>
        <w:rPr>
          <w:rFonts w:hint="eastAsia" w:ascii="仿宋" w:hAnsi="仿宋" w:eastAsia="仿宋" w:cs="仿宋"/>
        </w:rPr>
        <w:t>，预期指标值</w:t>
      </w:r>
      <w:r>
        <w:rPr>
          <w:rFonts w:hint="eastAsia" w:ascii="仿宋" w:hAnsi="仿宋" w:eastAsia="仿宋" w:cs="仿宋"/>
          <w:lang w:val="en-US" w:eastAsia="zh-CN"/>
        </w:rPr>
        <w:t>等于1个</w:t>
      </w:r>
      <w:r>
        <w:rPr>
          <w:rFonts w:hint="eastAsia" w:ascii="仿宋" w:hAnsi="仿宋" w:eastAsia="仿宋" w:cs="仿宋"/>
        </w:rPr>
        <w:t>，指标完成值：</w:t>
      </w:r>
      <w:r>
        <w:rPr>
          <w:rFonts w:hint="eastAsia" w:ascii="仿宋" w:hAnsi="仿宋" w:eastAsia="仿宋" w:cs="仿宋"/>
          <w:lang w:val="en-US" w:eastAsia="zh-CN"/>
        </w:rPr>
        <w:t>2个</w:t>
      </w:r>
      <w:r>
        <w:rPr>
          <w:rFonts w:hint="eastAsia" w:ascii="仿宋" w:hAnsi="仿宋" w:eastAsia="仿宋" w:cs="仿宋"/>
        </w:rPr>
        <w:t>，完成率：</w:t>
      </w:r>
      <w:r>
        <w:rPr>
          <w:rFonts w:hint="eastAsia" w:ascii="仿宋" w:hAnsi="仿宋" w:eastAsia="仿宋" w:cs="仿宋"/>
          <w:lang w:val="en-US" w:eastAsia="zh-CN"/>
        </w:rPr>
        <w:t>200%</w:t>
      </w:r>
      <w:r>
        <w:rPr>
          <w:rFonts w:hint="eastAsia" w:ascii="仿宋" w:hAnsi="仿宋" w:eastAsia="仿宋" w:cs="仿宋"/>
        </w:rPr>
        <w:t>；</w:t>
      </w:r>
      <w:r>
        <w:rPr>
          <w:rFonts w:hint="eastAsia" w:ascii="仿宋" w:hAnsi="仿宋" w:eastAsia="仿宋" w:cs="仿宋"/>
          <w:lang w:val="en-US" w:eastAsia="zh-CN"/>
        </w:rPr>
        <w:t>原因：绩效目标设置时不准确，实际建设驿站数2个；3.项目验收合格率</w:t>
      </w:r>
      <w:r>
        <w:rPr>
          <w:rFonts w:hint="eastAsia" w:ascii="仿宋" w:hAnsi="仿宋" w:eastAsia="仿宋" w:cs="仿宋"/>
        </w:rPr>
        <w:t>，预期指标值</w:t>
      </w:r>
      <w:r>
        <w:rPr>
          <w:rFonts w:hint="eastAsia" w:ascii="仿宋" w:hAnsi="仿宋" w:eastAsia="仿宋" w:cs="仿宋"/>
          <w:lang w:val="en-US" w:eastAsia="zh-CN"/>
        </w:rPr>
        <w:t>大于或等于90%</w:t>
      </w:r>
      <w:r>
        <w:rPr>
          <w:rFonts w:hint="eastAsia" w:ascii="仿宋" w:hAnsi="仿宋" w:eastAsia="仿宋" w:cs="仿宋"/>
        </w:rPr>
        <w:t>，指标完成值：</w:t>
      </w:r>
      <w:r>
        <w:rPr>
          <w:rFonts w:hint="eastAsia" w:ascii="仿宋" w:hAnsi="仿宋" w:eastAsia="仿宋" w:cs="仿宋"/>
          <w:lang w:val="en-US" w:eastAsia="zh-CN"/>
        </w:rPr>
        <w:t>0%</w:t>
      </w:r>
      <w:r>
        <w:rPr>
          <w:rFonts w:hint="eastAsia" w:ascii="仿宋" w:hAnsi="仿宋" w:eastAsia="仿宋" w:cs="仿宋"/>
        </w:rPr>
        <w:t>，完成率：</w:t>
      </w:r>
      <w:r>
        <w:rPr>
          <w:rFonts w:hint="eastAsia" w:ascii="仿宋" w:hAnsi="仿宋" w:eastAsia="仿宋" w:cs="仿宋"/>
          <w:lang w:val="en-US" w:eastAsia="zh-CN"/>
        </w:rPr>
        <w:t>0%</w:t>
      </w:r>
      <w:r>
        <w:rPr>
          <w:rFonts w:hint="eastAsia" w:ascii="仿宋" w:hAnsi="仿宋" w:eastAsia="仿宋" w:cs="仿宋"/>
        </w:rPr>
        <w:t>；</w:t>
      </w:r>
      <w:r>
        <w:rPr>
          <w:rFonts w:hint="eastAsia" w:ascii="仿宋" w:hAnsi="仿宋" w:eastAsia="仿宋" w:cs="仿宋"/>
          <w:lang w:val="en-US" w:eastAsia="zh-CN"/>
        </w:rPr>
        <w:t>原因：本项目截至2024年底项目未完工，因此未达到验收环节。</w:t>
      </w:r>
      <w:r>
        <w:rPr>
          <w:rFonts w:hint="eastAsia" w:ascii="仿宋" w:hAnsi="仿宋" w:eastAsia="仿宋" w:cs="仿宋"/>
        </w:rPr>
        <w:t>本项满</w:t>
      </w:r>
      <w:r>
        <w:rPr>
          <w:rFonts w:hint="eastAsia" w:ascii="仿宋" w:hAnsi="仿宋" w:eastAsia="仿宋" w:cs="仿宋"/>
          <w:color w:val="auto"/>
        </w:rPr>
        <w:t>分</w:t>
      </w:r>
      <w:r>
        <w:rPr>
          <w:rFonts w:hint="eastAsia" w:ascii="仿宋" w:hAnsi="仿宋" w:eastAsia="仿宋" w:cs="仿宋"/>
          <w:color w:val="auto"/>
          <w:lang w:val="en-US" w:eastAsia="zh-CN"/>
        </w:rPr>
        <w:t>4</w:t>
      </w:r>
      <w:r>
        <w:rPr>
          <w:rFonts w:hint="eastAsia" w:ascii="仿宋" w:hAnsi="仿宋" w:eastAsia="仿宋" w:cs="仿宋"/>
          <w:color w:val="auto"/>
        </w:rPr>
        <w:t>分，评估得分</w:t>
      </w:r>
      <w:r>
        <w:rPr>
          <w:rFonts w:hint="eastAsia" w:ascii="仿宋" w:hAnsi="仿宋" w:eastAsia="仿宋" w:cs="仿宋"/>
          <w:color w:val="auto"/>
          <w:lang w:val="en-US" w:eastAsia="zh-CN"/>
        </w:rPr>
        <w:t>0</w:t>
      </w:r>
      <w:r>
        <w:rPr>
          <w:rFonts w:hint="eastAsia" w:ascii="仿宋" w:hAnsi="仿宋" w:eastAsia="仿宋" w:cs="仿宋"/>
          <w:color w:val="auto"/>
        </w:rPr>
        <w:t>分</w:t>
      </w:r>
      <w:r>
        <w:rPr>
          <w:rFonts w:hint="eastAsia" w:ascii="仿宋" w:hAnsi="仿宋" w:eastAsia="仿宋" w:cs="仿宋"/>
          <w:color w:val="auto"/>
          <w:lang w:eastAsia="zh-CN"/>
        </w:rPr>
        <w:t>。</w:t>
      </w:r>
      <w:r>
        <w:rPr>
          <w:rFonts w:hint="eastAsia" w:ascii="仿宋" w:hAnsi="仿宋" w:eastAsia="仿宋" w:cs="仿宋"/>
          <w:color w:val="auto"/>
          <w:highlight w:val="none"/>
          <w:lang w:val="en-US" w:eastAsia="zh-CN"/>
        </w:rPr>
        <w:t>各部分权重和绩效汇总分值如下表所示：</w:t>
      </w:r>
    </w:p>
    <w:tbl>
      <w:tblPr>
        <w:tblStyle w:val="13"/>
        <w:tblW w:w="0" w:type="auto"/>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val="0"/>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bookmarkStart w:id="89" w:name="_Toc29511"/>
            <w:bookmarkStart w:id="90" w:name="_Toc12507"/>
            <w:bookmarkStart w:id="91" w:name="_Toc28580"/>
            <w:bookmarkStart w:id="92" w:name="_Toc17356"/>
            <w:bookmarkStart w:id="93" w:name="_Toc30727"/>
            <w:r>
              <w:rPr>
                <w:rFonts w:hint="eastAsia" w:ascii="仿宋" w:hAnsi="仿宋" w:eastAsia="仿宋" w:cs="仿宋"/>
                <w:color w:val="auto"/>
                <w:highlight w:val="none"/>
                <w:lang w:eastAsia="zh-CN"/>
              </w:rPr>
              <w:t>文化保护传承利用工程（第一批）中央基建 罗布人村寨旅游景区旅游基础设施</w:t>
            </w:r>
            <w:bookmarkEnd w:id="89"/>
            <w:bookmarkEnd w:id="90"/>
            <w:bookmarkEnd w:id="91"/>
            <w:bookmarkStart w:id="94" w:name="_Toc16086"/>
            <w:bookmarkStart w:id="95" w:name="_Toc3703"/>
            <w:bookmarkStart w:id="96" w:name="_Toc7958"/>
            <w:bookmarkStart w:id="97" w:name="_Toc11209"/>
            <w:bookmarkStart w:id="98" w:name="_Toc1578"/>
            <w:r>
              <w:rPr>
                <w:rFonts w:hint="eastAsia" w:ascii="仿宋" w:hAnsi="仿宋" w:eastAsia="仿宋" w:cs="仿宋"/>
                <w:color w:val="auto"/>
                <w:highlight w:val="none"/>
              </w:rPr>
              <w:t>绩效评价</w:t>
            </w:r>
            <w:r>
              <w:rPr>
                <w:rFonts w:hint="eastAsia" w:ascii="仿宋" w:hAnsi="仿宋" w:eastAsia="仿宋" w:cs="仿宋"/>
                <w:color w:val="auto"/>
                <w:highlight w:val="none"/>
                <w:lang w:val="zh-TW" w:eastAsia="zh-TW"/>
              </w:rPr>
              <w:t>得分表</w:t>
            </w:r>
            <w:bookmarkEnd w:id="94"/>
            <w:bookmarkEnd w:id="95"/>
            <w:bookmarkEnd w:id="96"/>
            <w:bookmarkEnd w:id="97"/>
            <w:bookmarkEnd w:id="98"/>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指标类别</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1.项目决策</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2.过程管理</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3.项目产出</w:t>
            </w:r>
          </w:p>
        </w:tc>
        <w:tc>
          <w:tcPr>
            <w:tcW w:w="15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4.项目效益</w:t>
            </w:r>
          </w:p>
        </w:tc>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权重</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分值</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得分</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17.86</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35</w:t>
            </w:r>
          </w:p>
        </w:tc>
        <w:tc>
          <w:tcPr>
            <w:tcW w:w="15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r>
              <w:rPr>
                <w:rFonts w:hint="eastAsia" w:ascii="仿宋" w:hAnsi="仿宋" w:eastAsia="仿宋" w:cs="仿宋"/>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1"/>
              <w:bidi w:val="0"/>
              <w:ind w:firstLine="210" w:firstLineChars="10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94.86</w:t>
            </w:r>
          </w:p>
        </w:tc>
      </w:tr>
    </w:tbl>
    <w:p>
      <w:pPr>
        <w:pStyle w:val="3"/>
        <w:bidi w:val="0"/>
        <w:jc w:val="both"/>
        <w:outlineLvl w:val="0"/>
        <w:rPr>
          <w:rFonts w:hint="eastAsia" w:ascii="仿宋" w:hAnsi="仿宋" w:eastAsia="仿宋" w:cs="仿宋"/>
          <w:color w:val="auto"/>
        </w:rPr>
      </w:pPr>
      <w:bookmarkStart w:id="99" w:name="_Toc4904"/>
      <w:bookmarkStart w:id="100" w:name="_Toc29439"/>
      <w:bookmarkStart w:id="101" w:name="_Toc13630"/>
      <w:bookmarkStart w:id="102" w:name="_Toc3855"/>
      <w:r>
        <w:rPr>
          <w:rFonts w:hint="eastAsia" w:ascii="仿宋" w:hAnsi="仿宋" w:eastAsia="仿宋" w:cs="仿宋"/>
          <w:color w:val="auto"/>
        </w:rPr>
        <w:t>四、绩效评价指标分析</w:t>
      </w:r>
      <w:bookmarkEnd w:id="92"/>
      <w:bookmarkEnd w:id="93"/>
      <w:bookmarkEnd w:id="99"/>
      <w:bookmarkEnd w:id="100"/>
      <w:bookmarkEnd w:id="101"/>
      <w:bookmarkEnd w:id="102"/>
    </w:p>
    <w:p>
      <w:pPr>
        <w:pStyle w:val="4"/>
        <w:bidi w:val="0"/>
        <w:jc w:val="both"/>
        <w:outlineLvl w:val="1"/>
        <w:rPr>
          <w:rFonts w:hint="eastAsia" w:ascii="仿宋" w:hAnsi="仿宋" w:eastAsia="仿宋" w:cs="仿宋"/>
          <w:color w:val="auto"/>
        </w:rPr>
      </w:pPr>
      <w:bookmarkStart w:id="103" w:name="_Toc1968"/>
      <w:bookmarkStart w:id="104" w:name="_Toc22323"/>
      <w:bookmarkStart w:id="105" w:name="_Toc2901"/>
      <w:bookmarkStart w:id="106" w:name="_Toc4393"/>
      <w:bookmarkStart w:id="107" w:name="_Toc28477"/>
      <w:r>
        <w:rPr>
          <w:rFonts w:hint="eastAsia" w:ascii="仿宋" w:hAnsi="仿宋" w:eastAsia="仿宋" w:cs="仿宋"/>
          <w:color w:val="auto"/>
        </w:rPr>
        <w:t>（一）项目决策情况</w:t>
      </w:r>
      <w:bookmarkEnd w:id="103"/>
      <w:bookmarkEnd w:id="104"/>
      <w:bookmarkEnd w:id="105"/>
      <w:bookmarkEnd w:id="106"/>
      <w:bookmarkEnd w:id="107"/>
    </w:p>
    <w:p>
      <w:pPr>
        <w:bidi w:val="0"/>
        <w:jc w:val="both"/>
        <w:rPr>
          <w:rFonts w:hint="eastAsia" w:ascii="仿宋" w:hAnsi="仿宋" w:eastAsia="仿宋" w:cs="仿宋"/>
          <w:b/>
          <w:bCs/>
          <w:color w:val="auto"/>
        </w:rPr>
      </w:pPr>
      <w:bookmarkStart w:id="108" w:name="_Toc510"/>
      <w:bookmarkStart w:id="109" w:name="_Toc22511"/>
      <w:r>
        <w:rPr>
          <w:rFonts w:hint="eastAsia" w:ascii="仿宋" w:hAnsi="仿宋" w:eastAsia="仿宋" w:cs="仿宋"/>
          <w:b/>
          <w:bCs/>
          <w:color w:val="auto"/>
        </w:rPr>
        <w:t>1.立项依据充分性</w:t>
      </w:r>
      <w:bookmarkEnd w:id="108"/>
      <w:bookmarkEnd w:id="109"/>
    </w:p>
    <w:p>
      <w:pPr>
        <w:bidi w:val="0"/>
        <w:jc w:val="both"/>
        <w:rPr>
          <w:rFonts w:hint="eastAsia" w:ascii="仿宋" w:hAnsi="仿宋" w:eastAsia="仿宋" w:cs="仿宋"/>
          <w:color w:val="auto"/>
        </w:rPr>
      </w:pPr>
      <w:r>
        <w:rPr>
          <w:rFonts w:hint="eastAsia" w:ascii="仿宋" w:hAnsi="仿宋" w:eastAsia="仿宋" w:cs="仿宋"/>
          <w:color w:val="auto"/>
          <w:highlight w:val="none"/>
          <w:lang w:val="en-US" w:eastAsia="zh-CN"/>
        </w:rPr>
        <w:t>根据</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关于下达2023年文化保护传承利用工程（第一批）中央基建投资预算（拨款）的通知</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巴财建</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2023</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42</w:t>
      </w:r>
      <w:r>
        <w:rPr>
          <w:rFonts w:hint="eastAsia" w:ascii="仿宋" w:hAnsi="仿宋" w:eastAsia="仿宋" w:cs="仿宋"/>
          <w:color w:val="auto"/>
          <w:highlight w:val="none"/>
        </w:rPr>
        <w:t>号）</w:t>
      </w:r>
      <w:r>
        <w:rPr>
          <w:rFonts w:hint="eastAsia" w:ascii="仿宋" w:hAnsi="仿宋" w:eastAsia="仿宋" w:cs="仿宋"/>
          <w:color w:val="auto"/>
          <w:highlight w:val="none"/>
          <w:lang w:val="en-US" w:eastAsia="zh-CN"/>
        </w:rPr>
        <w:t>专项用于文化保护传承利用工程，</w:t>
      </w:r>
      <w:r>
        <w:rPr>
          <w:rFonts w:hint="eastAsia" w:ascii="仿宋" w:hAnsi="仿宋" w:eastAsia="仿宋" w:cs="仿宋"/>
          <w:color w:val="auto"/>
          <w:highlight w:val="none"/>
        </w:rPr>
        <w:t>项目</w:t>
      </w:r>
      <w:r>
        <w:rPr>
          <w:rFonts w:hint="eastAsia" w:ascii="仿宋" w:hAnsi="仿宋" w:eastAsia="仿宋" w:cs="仿宋"/>
          <w:color w:val="auto"/>
          <w:highlight w:val="none"/>
          <w:lang w:val="en-US" w:eastAsia="zh-CN"/>
        </w:rPr>
        <w:t>实施</w:t>
      </w:r>
      <w:r>
        <w:rPr>
          <w:rFonts w:hint="eastAsia" w:ascii="仿宋" w:hAnsi="仿宋" w:eastAsia="仿宋" w:cs="仿宋"/>
          <w:color w:val="auto"/>
          <w:highlight w:val="none"/>
        </w:rPr>
        <w:t>符合国家法律法规、国民经济发展规划和相关政策；符合行业发展规划和政策要求；与尉犁县文化体育广播影视局(旅游局)</w:t>
      </w:r>
      <w:r>
        <w:rPr>
          <w:rFonts w:hint="eastAsia" w:ascii="仿宋" w:hAnsi="仿宋" w:eastAsia="仿宋" w:cs="仿宋"/>
          <w:color w:val="auto"/>
          <w:highlight w:val="none"/>
          <w:lang w:val="en-US" w:eastAsia="zh-CN"/>
        </w:rPr>
        <w:t>部门</w:t>
      </w:r>
      <w:r>
        <w:rPr>
          <w:rFonts w:hint="eastAsia" w:ascii="仿宋" w:hAnsi="仿宋" w:eastAsia="仿宋" w:cs="仿宋"/>
          <w:color w:val="auto"/>
          <w:highlight w:val="none"/>
        </w:rPr>
        <w:t>职责范围相符，属</w:t>
      </w:r>
      <w:r>
        <w:rPr>
          <w:rFonts w:hint="eastAsia" w:ascii="仿宋" w:hAnsi="仿宋" w:eastAsia="仿宋" w:cs="仿宋"/>
          <w:color w:val="auto"/>
          <w:highlight w:val="none"/>
          <w:lang w:val="en-US" w:eastAsia="zh-CN"/>
        </w:rPr>
        <w:t>于</w:t>
      </w:r>
      <w:bookmarkStart w:id="222" w:name="_GoBack"/>
      <w:bookmarkEnd w:id="222"/>
      <w:r>
        <w:rPr>
          <w:rFonts w:hint="eastAsia" w:ascii="仿宋" w:hAnsi="仿宋" w:eastAsia="仿宋" w:cs="仿宋"/>
          <w:color w:val="auto"/>
          <w:highlight w:val="none"/>
        </w:rPr>
        <w:t>部门履职所需；属于公共财政支持范围，符合中央、地方事权支出责任划分原则；</w:t>
      </w:r>
      <w:r>
        <w:rPr>
          <w:rFonts w:hint="eastAsia" w:ascii="仿宋" w:hAnsi="仿宋" w:eastAsia="仿宋" w:cs="仿宋"/>
          <w:color w:val="auto"/>
          <w:highlight w:val="none"/>
          <w:lang w:val="en-US" w:eastAsia="zh-CN"/>
        </w:rPr>
        <w:t>不存在</w:t>
      </w:r>
      <w:r>
        <w:rPr>
          <w:rFonts w:hint="eastAsia" w:ascii="仿宋" w:hAnsi="仿宋" w:eastAsia="仿宋" w:cs="仿宋"/>
          <w:color w:val="auto"/>
          <w:highlight w:val="none"/>
        </w:rPr>
        <w:t>与相关部门同类项目或部门内部相关项目重复</w:t>
      </w:r>
      <w:r>
        <w:rPr>
          <w:rFonts w:hint="eastAsia" w:ascii="仿宋" w:hAnsi="仿宋" w:eastAsia="仿宋" w:cs="仿宋"/>
          <w:color w:val="auto"/>
          <w:highlight w:val="none"/>
          <w:lang w:val="en-US" w:eastAsia="zh-CN"/>
        </w:rPr>
        <w:t>的现象</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项目立项依据充分。</w:t>
      </w:r>
    </w:p>
    <w:p>
      <w:pPr>
        <w:bidi w:val="0"/>
        <w:jc w:val="both"/>
        <w:rPr>
          <w:rFonts w:hint="eastAsia" w:ascii="仿宋" w:hAnsi="仿宋" w:eastAsia="仿宋" w:cs="仿宋"/>
          <w:color w:val="auto"/>
        </w:rPr>
      </w:pPr>
      <w:r>
        <w:rPr>
          <w:rFonts w:hint="eastAsia" w:ascii="仿宋" w:hAnsi="仿宋" w:eastAsia="仿宋" w:cs="仿宋"/>
          <w:color w:val="auto"/>
        </w:rPr>
        <w:t>本项满分3分，评估得分3分。</w:t>
      </w:r>
    </w:p>
    <w:p>
      <w:pPr>
        <w:bidi w:val="0"/>
        <w:jc w:val="both"/>
        <w:rPr>
          <w:rFonts w:hint="eastAsia" w:ascii="仿宋" w:hAnsi="仿宋" w:eastAsia="仿宋" w:cs="仿宋"/>
          <w:b/>
          <w:bCs/>
          <w:color w:val="auto"/>
        </w:rPr>
      </w:pPr>
      <w:bookmarkStart w:id="110" w:name="_Toc283"/>
      <w:bookmarkStart w:id="111" w:name="_Toc27895"/>
      <w:r>
        <w:rPr>
          <w:rFonts w:hint="eastAsia" w:ascii="仿宋" w:hAnsi="仿宋" w:eastAsia="仿宋" w:cs="仿宋"/>
          <w:b/>
          <w:bCs/>
          <w:color w:val="auto"/>
        </w:rPr>
        <w:t>2.立项程序规范性</w:t>
      </w:r>
      <w:bookmarkEnd w:id="110"/>
      <w:bookmarkEnd w:id="111"/>
    </w:p>
    <w:p>
      <w:pPr>
        <w:bidi w:val="0"/>
        <w:jc w:val="both"/>
        <w:rPr>
          <w:rFonts w:hint="eastAsia" w:ascii="仿宋" w:hAnsi="仿宋" w:eastAsia="仿宋" w:cs="仿宋"/>
          <w:color w:val="auto"/>
        </w:rPr>
      </w:pPr>
      <w:r>
        <w:rPr>
          <w:rFonts w:hint="eastAsia" w:ascii="仿宋" w:hAnsi="仿宋" w:eastAsia="仿宋" w:cs="仿宋"/>
        </w:rPr>
        <w:t>本项目实施单位</w:t>
      </w:r>
      <w:r>
        <w:rPr>
          <w:rFonts w:hint="eastAsia" w:ascii="仿宋" w:hAnsi="仿宋" w:eastAsia="仿宋" w:cs="仿宋"/>
          <w:lang w:val="en-US" w:eastAsia="zh-CN"/>
        </w:rPr>
        <w:t>尉犁县文化体育广播电视和旅游局</w:t>
      </w:r>
      <w:r>
        <w:rPr>
          <w:rFonts w:hint="eastAsia" w:ascii="仿宋" w:hAnsi="仿宋" w:eastAsia="仿宋" w:cs="仿宋"/>
        </w:rPr>
        <w:t>编制了</w:t>
      </w:r>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项目建议书</w:t>
      </w:r>
      <w:r>
        <w:rPr>
          <w:rFonts w:hint="eastAsia" w:ascii="仿宋" w:hAnsi="仿宋" w:eastAsia="仿宋" w:cs="仿宋"/>
          <w:lang w:eastAsia="zh-CN"/>
        </w:rPr>
        <w:t>》</w:t>
      </w:r>
      <w:r>
        <w:rPr>
          <w:rFonts w:hint="eastAsia" w:ascii="仿宋" w:hAnsi="仿宋" w:eastAsia="仿宋" w:cs="仿宋"/>
        </w:rPr>
        <w:t>，</w:t>
      </w:r>
      <w:r>
        <w:rPr>
          <w:rFonts w:hint="eastAsia" w:ascii="仿宋" w:hAnsi="仿宋" w:eastAsia="仿宋" w:cs="仿宋"/>
          <w:lang w:val="en-US" w:eastAsia="zh-CN"/>
        </w:rPr>
        <w:t>2022</w:t>
      </w:r>
      <w:r>
        <w:rPr>
          <w:rFonts w:hint="eastAsia" w:ascii="仿宋" w:hAnsi="仿宋" w:eastAsia="仿宋" w:cs="仿宋"/>
        </w:rPr>
        <w:t>年</w:t>
      </w:r>
      <w:r>
        <w:rPr>
          <w:rFonts w:hint="eastAsia" w:ascii="仿宋" w:hAnsi="仿宋" w:eastAsia="仿宋" w:cs="仿宋"/>
          <w:lang w:val="en-US" w:eastAsia="zh-CN"/>
        </w:rPr>
        <w:t>9</w:t>
      </w:r>
      <w:r>
        <w:rPr>
          <w:rFonts w:hint="eastAsia" w:ascii="仿宋" w:hAnsi="仿宋" w:eastAsia="仿宋" w:cs="仿宋"/>
        </w:rPr>
        <w:t>月完成</w:t>
      </w:r>
      <w:r>
        <w:rPr>
          <w:rFonts w:hint="eastAsia" w:ascii="仿宋" w:hAnsi="仿宋" w:eastAsia="仿宋" w:cs="仿宋"/>
          <w:lang w:val="en-US" w:eastAsia="zh-CN"/>
        </w:rPr>
        <w:t>项目建议书</w:t>
      </w:r>
      <w:r>
        <w:rPr>
          <w:rFonts w:hint="eastAsia" w:ascii="仿宋" w:hAnsi="仿宋" w:eastAsia="仿宋" w:cs="仿宋"/>
        </w:rPr>
        <w:t>编制。得到了</w:t>
      </w:r>
      <w:r>
        <w:rPr>
          <w:rFonts w:hint="eastAsia" w:ascii="仿宋" w:hAnsi="仿宋" w:eastAsia="仿宋" w:cs="仿宋"/>
          <w:lang w:val="en-US" w:eastAsia="zh-CN"/>
        </w:rPr>
        <w:t>巴音郭楞蒙古自治州</w:t>
      </w:r>
      <w:r>
        <w:rPr>
          <w:rFonts w:hint="eastAsia" w:ascii="仿宋" w:hAnsi="仿宋" w:eastAsia="仿宋" w:cs="仿宋"/>
        </w:rPr>
        <w:t>发展和改革委员会</w:t>
      </w:r>
      <w:r>
        <w:rPr>
          <w:rFonts w:hint="eastAsia" w:ascii="仿宋" w:hAnsi="仿宋" w:eastAsia="仿宋" w:cs="仿宋"/>
          <w:lang w:eastAsia="zh-CN"/>
        </w:rPr>
        <w:t>《</w:t>
      </w:r>
      <w:r>
        <w:rPr>
          <w:rFonts w:hint="eastAsia" w:ascii="仿宋" w:hAnsi="仿宋" w:eastAsia="仿宋" w:cs="仿宋"/>
        </w:rPr>
        <w:t>关于罗布人村寨景区旅游基础设施项目建议书的批复</w:t>
      </w:r>
      <w:r>
        <w:rPr>
          <w:rFonts w:hint="eastAsia" w:ascii="仿宋" w:hAnsi="仿宋" w:eastAsia="仿宋" w:cs="仿宋"/>
          <w:lang w:eastAsia="zh-CN"/>
        </w:rPr>
        <w:t>》（</w:t>
      </w:r>
      <w:r>
        <w:rPr>
          <w:rFonts w:hint="eastAsia" w:ascii="仿宋" w:hAnsi="仿宋" w:eastAsia="仿宋" w:cs="仿宋"/>
          <w:lang w:val="en-US" w:eastAsia="zh-CN"/>
        </w:rPr>
        <w:t>巴</w:t>
      </w:r>
      <w:r>
        <w:rPr>
          <w:rFonts w:hint="eastAsia" w:ascii="仿宋" w:hAnsi="仿宋" w:eastAsia="仿宋" w:cs="仿宋"/>
        </w:rPr>
        <w:t>发改项目〔202</w:t>
      </w:r>
      <w:r>
        <w:rPr>
          <w:rFonts w:hint="eastAsia" w:ascii="仿宋" w:hAnsi="仿宋" w:eastAsia="仿宋" w:cs="仿宋"/>
          <w:lang w:val="en-US" w:eastAsia="zh-CN"/>
        </w:rPr>
        <w:t>2</w:t>
      </w:r>
      <w:r>
        <w:rPr>
          <w:rFonts w:hint="eastAsia" w:ascii="仿宋" w:hAnsi="仿宋" w:eastAsia="仿宋" w:cs="仿宋"/>
        </w:rPr>
        <w:t>〕</w:t>
      </w:r>
      <w:r>
        <w:rPr>
          <w:rFonts w:hint="eastAsia" w:ascii="仿宋" w:hAnsi="仿宋" w:eastAsia="仿宋" w:cs="仿宋"/>
          <w:lang w:val="en-US" w:eastAsia="zh-CN"/>
        </w:rPr>
        <w:t>344</w:t>
      </w:r>
      <w:r>
        <w:rPr>
          <w:rFonts w:hint="eastAsia" w:ascii="仿宋" w:hAnsi="仿宋" w:eastAsia="仿宋" w:cs="仿宋"/>
        </w:rPr>
        <w:t>号</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，批复时间</w:t>
      </w:r>
      <w:r>
        <w:rPr>
          <w:rFonts w:hint="eastAsia" w:ascii="仿宋" w:hAnsi="仿宋" w:eastAsia="仿宋" w:cs="仿宋"/>
          <w:color w:val="auto"/>
          <w:highlight w:val="none"/>
          <w:lang w:val="en-US" w:eastAsia="zh-CN"/>
        </w:rPr>
        <w:t>2022</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15</w:t>
      </w:r>
      <w:r>
        <w:rPr>
          <w:rFonts w:hint="eastAsia" w:ascii="仿宋" w:hAnsi="仿宋" w:eastAsia="仿宋" w:cs="仿宋"/>
          <w:color w:val="auto"/>
          <w:highlight w:val="none"/>
        </w:rPr>
        <w:t>日，</w:t>
      </w:r>
      <w:r>
        <w:rPr>
          <w:rFonts w:hint="eastAsia" w:ascii="仿宋" w:hAnsi="仿宋" w:eastAsia="仿宋" w:cs="仿宋"/>
          <w:color w:val="auto"/>
        </w:rPr>
        <w:t>立项程序规范。</w:t>
      </w:r>
    </w:p>
    <w:p>
      <w:pPr>
        <w:bidi w:val="0"/>
        <w:jc w:val="both"/>
        <w:rPr>
          <w:rFonts w:hint="eastAsia" w:ascii="仿宋" w:hAnsi="仿宋" w:eastAsia="仿宋" w:cs="仿宋"/>
          <w:color w:val="auto"/>
        </w:rPr>
      </w:pPr>
      <w:r>
        <w:rPr>
          <w:rFonts w:hint="eastAsia" w:ascii="仿宋" w:hAnsi="仿宋" w:eastAsia="仿宋" w:cs="仿宋"/>
          <w:color w:val="auto"/>
          <w:highlight w:val="none"/>
        </w:rPr>
        <w:t>立项程序规范。</w:t>
      </w:r>
      <w:r>
        <w:rPr>
          <w:rFonts w:hint="eastAsia" w:ascii="仿宋" w:hAnsi="仿宋" w:eastAsia="仿宋" w:cs="仿宋"/>
          <w:color w:val="auto"/>
        </w:rPr>
        <w:t>本项满分3分，评估得分3分。</w:t>
      </w:r>
    </w:p>
    <w:p>
      <w:pPr>
        <w:bidi w:val="0"/>
        <w:jc w:val="both"/>
        <w:rPr>
          <w:rFonts w:hint="eastAsia" w:ascii="仿宋" w:hAnsi="仿宋" w:eastAsia="仿宋" w:cs="仿宋"/>
          <w:b/>
          <w:bCs/>
          <w:color w:val="auto"/>
        </w:rPr>
      </w:pPr>
      <w:bookmarkStart w:id="112" w:name="_Toc13368"/>
      <w:bookmarkStart w:id="113" w:name="_Toc20471"/>
      <w:r>
        <w:rPr>
          <w:rFonts w:hint="eastAsia" w:ascii="仿宋" w:hAnsi="仿宋" w:eastAsia="仿宋" w:cs="仿宋"/>
          <w:b/>
          <w:bCs/>
          <w:color w:val="auto"/>
        </w:rPr>
        <w:t>3.绩效目标合理性</w:t>
      </w:r>
      <w:bookmarkEnd w:id="112"/>
      <w:bookmarkEnd w:id="113"/>
    </w:p>
    <w:p>
      <w:pPr>
        <w:bidi w:val="0"/>
        <w:jc w:val="both"/>
        <w:rPr>
          <w:rFonts w:hint="eastAsia" w:ascii="仿宋" w:hAnsi="仿宋" w:eastAsia="仿宋" w:cs="仿宋"/>
          <w:color w:val="auto"/>
        </w:rPr>
      </w:pPr>
      <w:r>
        <w:rPr>
          <w:rFonts w:hint="eastAsia" w:ascii="仿宋" w:hAnsi="仿宋" w:eastAsia="仿宋" w:cs="仿宋"/>
          <w:color w:val="auto"/>
          <w:lang w:eastAsia="zh-CN"/>
        </w:rPr>
        <w:t>文化保护传承利用工程（第一批）中央基建 罗布人村寨旅游景区旅游基础设施</w:t>
      </w:r>
      <w:r>
        <w:rPr>
          <w:rFonts w:hint="eastAsia" w:ascii="仿宋" w:hAnsi="仿宋" w:eastAsia="仿宋" w:cs="仿宋"/>
          <w:color w:val="auto"/>
        </w:rPr>
        <w:t>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hint="eastAsia" w:ascii="仿宋" w:hAnsi="仿宋" w:eastAsia="仿宋" w:cs="仿宋"/>
          <w:color w:val="auto"/>
        </w:rPr>
      </w:pPr>
      <w:r>
        <w:rPr>
          <w:rFonts w:hint="eastAsia" w:ascii="仿宋" w:hAnsi="仿宋" w:eastAsia="仿宋" w:cs="仿宋"/>
          <w:color w:val="auto"/>
        </w:rPr>
        <w:t>本项满分4分，评估得分4分。</w:t>
      </w:r>
    </w:p>
    <w:p>
      <w:pPr>
        <w:bidi w:val="0"/>
        <w:jc w:val="both"/>
        <w:rPr>
          <w:rFonts w:hint="eastAsia" w:ascii="仿宋" w:hAnsi="仿宋" w:eastAsia="仿宋" w:cs="仿宋"/>
          <w:b/>
          <w:bCs/>
          <w:color w:val="auto"/>
        </w:rPr>
      </w:pPr>
      <w:bookmarkStart w:id="114" w:name="_Toc21087"/>
      <w:bookmarkStart w:id="115" w:name="_Toc15543"/>
      <w:r>
        <w:rPr>
          <w:rFonts w:hint="eastAsia" w:ascii="仿宋" w:hAnsi="仿宋" w:eastAsia="仿宋" w:cs="仿宋"/>
          <w:b/>
          <w:bCs/>
          <w:color w:val="auto"/>
        </w:rPr>
        <w:t>4.绩效指标明确性</w:t>
      </w:r>
      <w:bookmarkEnd w:id="114"/>
      <w:bookmarkEnd w:id="115"/>
    </w:p>
    <w:p>
      <w:pPr>
        <w:bidi w:val="0"/>
        <w:rPr>
          <w:rFonts w:hint="eastAsia" w:ascii="仿宋" w:hAnsi="仿宋" w:eastAsia="仿宋" w:cs="仿宋"/>
          <w:lang w:val="en-US" w:eastAsia="zh-CN"/>
        </w:rPr>
      </w:pPr>
      <w:bookmarkStart w:id="116" w:name="_Toc9951"/>
      <w:bookmarkStart w:id="117" w:name="_Toc28156"/>
      <w:bookmarkStart w:id="118" w:name="_Toc22526"/>
      <w:r>
        <w:rPr>
          <w:rFonts w:hint="eastAsia" w:ascii="仿宋" w:hAnsi="仿宋" w:eastAsia="仿宋" w:cs="仿宋"/>
          <w:lang w:eastAsia="zh-CN"/>
        </w:rPr>
        <w:t>文化保护传承利用工程（第一批）中央基建 罗布人村寨旅游景区旅游基础设施</w:t>
      </w:r>
      <w:r>
        <w:rPr>
          <w:rFonts w:hint="eastAsia" w:ascii="仿宋" w:hAnsi="仿宋" w:eastAsia="仿宋" w:cs="仿宋"/>
          <w:lang w:val="en-US" w:eastAsia="zh-CN"/>
        </w:rPr>
        <w:t>项目</w:t>
      </w:r>
      <w:r>
        <w:rPr>
          <w:rFonts w:hint="eastAsia" w:ascii="仿宋" w:hAnsi="仿宋" w:eastAsia="仿宋" w:cs="仿宋"/>
        </w:rPr>
        <w:t>，设置一级指标</w:t>
      </w:r>
      <w:r>
        <w:rPr>
          <w:rFonts w:hint="eastAsia" w:ascii="仿宋" w:hAnsi="仿宋" w:eastAsia="仿宋" w:cs="仿宋"/>
          <w:lang w:val="en-US" w:eastAsia="zh-CN"/>
        </w:rPr>
        <w:t>4</w:t>
      </w:r>
      <w:r>
        <w:rPr>
          <w:rFonts w:hint="eastAsia" w:ascii="仿宋" w:hAnsi="仿宋" w:eastAsia="仿宋" w:cs="仿宋"/>
        </w:rPr>
        <w:t>条，二级指标</w:t>
      </w:r>
      <w:r>
        <w:rPr>
          <w:rFonts w:hint="eastAsia" w:ascii="仿宋" w:hAnsi="仿宋" w:eastAsia="仿宋" w:cs="仿宋"/>
          <w:lang w:val="en-US" w:eastAsia="zh-CN"/>
        </w:rPr>
        <w:t>6</w:t>
      </w:r>
      <w:r>
        <w:rPr>
          <w:rFonts w:hint="eastAsia" w:ascii="仿宋" w:hAnsi="仿宋" w:eastAsia="仿宋" w:cs="仿宋"/>
        </w:rPr>
        <w:t>条，三级指标</w:t>
      </w:r>
      <w:r>
        <w:rPr>
          <w:rFonts w:hint="eastAsia" w:ascii="仿宋" w:hAnsi="仿宋" w:eastAsia="仿宋" w:cs="仿宋"/>
          <w:lang w:val="en-US" w:eastAsia="zh-CN"/>
        </w:rPr>
        <w:t>12</w:t>
      </w:r>
      <w:r>
        <w:rPr>
          <w:rFonts w:hint="eastAsia" w:ascii="仿宋" w:hAnsi="仿宋" w:eastAsia="仿宋" w:cs="仿宋"/>
        </w:rPr>
        <w:t>条，其中量化指标</w:t>
      </w:r>
      <w:r>
        <w:rPr>
          <w:rFonts w:hint="eastAsia" w:ascii="仿宋" w:hAnsi="仿宋" w:eastAsia="仿宋" w:cs="仿宋"/>
          <w:lang w:val="en-US" w:eastAsia="zh-CN"/>
        </w:rPr>
        <w:t>9</w:t>
      </w:r>
      <w:r>
        <w:rPr>
          <w:rFonts w:hint="eastAsia" w:ascii="仿宋" w:hAnsi="仿宋" w:eastAsia="仿宋" w:cs="仿宋"/>
        </w:rPr>
        <w:t>条，</w:t>
      </w:r>
      <w:r>
        <w:rPr>
          <w:rFonts w:hint="eastAsia" w:ascii="仿宋" w:hAnsi="仿宋" w:eastAsia="仿宋" w:cs="仿宋"/>
          <w:lang w:val="en-US" w:eastAsia="zh-CN"/>
        </w:rPr>
        <w:t>项目设置了明确的预期产出效益和效果，将绩效目标细化分解为具体的绩效指标，绩效目标与项目目标任务数相对应，绩效目标设定的绩效指标清晰、细化、可衡量。</w:t>
      </w:r>
      <w:bookmarkEnd w:id="116"/>
      <w:bookmarkEnd w:id="117"/>
      <w:bookmarkEnd w:id="118"/>
    </w:p>
    <w:p>
      <w:pPr>
        <w:bidi w:val="0"/>
        <w:rPr>
          <w:rFonts w:hint="eastAsia" w:ascii="仿宋" w:hAnsi="仿宋" w:eastAsia="仿宋" w:cs="仿宋"/>
        </w:rPr>
      </w:pPr>
      <w:r>
        <w:rPr>
          <w:rFonts w:hint="eastAsia" w:ascii="仿宋" w:hAnsi="仿宋" w:eastAsia="仿宋" w:cs="仿宋"/>
        </w:rPr>
        <w:t>本项满分4分，评估得分4分。</w:t>
      </w:r>
    </w:p>
    <w:p>
      <w:pPr>
        <w:bidi w:val="0"/>
        <w:jc w:val="both"/>
        <w:rPr>
          <w:rFonts w:hint="eastAsia" w:ascii="仿宋" w:hAnsi="仿宋" w:eastAsia="仿宋" w:cs="仿宋"/>
          <w:b/>
          <w:bCs/>
          <w:color w:val="auto"/>
        </w:rPr>
      </w:pPr>
      <w:bookmarkStart w:id="119" w:name="_Toc25638"/>
      <w:bookmarkStart w:id="120" w:name="_Toc21476"/>
      <w:r>
        <w:rPr>
          <w:rFonts w:hint="eastAsia" w:ascii="仿宋" w:hAnsi="仿宋" w:eastAsia="仿宋" w:cs="仿宋"/>
          <w:b/>
          <w:bCs/>
          <w:color w:val="auto"/>
        </w:rPr>
        <w:t>5.预算编制科学性</w:t>
      </w:r>
      <w:bookmarkEnd w:id="119"/>
      <w:bookmarkEnd w:id="120"/>
    </w:p>
    <w:p>
      <w:pPr>
        <w:bidi w:val="0"/>
        <w:jc w:val="both"/>
        <w:rPr>
          <w:rFonts w:hint="eastAsia" w:ascii="仿宋" w:hAnsi="仿宋" w:eastAsia="仿宋" w:cs="仿宋"/>
          <w:color w:val="auto"/>
        </w:rPr>
      </w:pPr>
      <w:r>
        <w:rPr>
          <w:rFonts w:hint="eastAsia" w:ascii="仿宋" w:hAnsi="仿宋" w:eastAsia="仿宋" w:cs="仿宋"/>
          <w:color w:val="auto"/>
        </w:rPr>
        <w:t>本项目预算资金</w:t>
      </w:r>
      <w:r>
        <w:rPr>
          <w:rFonts w:hint="eastAsia" w:ascii="仿宋" w:hAnsi="仿宋" w:eastAsia="仿宋" w:cs="仿宋"/>
          <w:color w:val="auto"/>
          <w:lang w:val="en-US" w:eastAsia="zh-CN"/>
        </w:rPr>
        <w:t>906</w:t>
      </w:r>
      <w:r>
        <w:rPr>
          <w:rFonts w:hint="eastAsia" w:ascii="仿宋" w:hAnsi="仿宋" w:eastAsia="仿宋" w:cs="仿宋"/>
          <w:color w:val="auto"/>
        </w:rPr>
        <w:t>万元，来源为</w:t>
      </w:r>
      <w:r>
        <w:rPr>
          <w:rFonts w:hint="eastAsia" w:ascii="仿宋" w:hAnsi="仿宋" w:eastAsia="仿宋" w:cs="仿宋"/>
          <w:color w:val="auto"/>
          <w:lang w:val="en-US" w:eastAsia="zh-CN"/>
        </w:rPr>
        <w:t>中央专项</w:t>
      </w:r>
      <w:r>
        <w:rPr>
          <w:rFonts w:hint="eastAsia" w:ascii="仿宋" w:hAnsi="仿宋" w:eastAsia="仿宋" w:cs="仿宋"/>
          <w:color w:val="auto"/>
        </w:rPr>
        <w:t>资金</w:t>
      </w:r>
      <w:r>
        <w:rPr>
          <w:rFonts w:hint="eastAsia" w:ascii="仿宋" w:hAnsi="仿宋" w:eastAsia="仿宋" w:cs="仿宋"/>
          <w:color w:val="auto"/>
          <w:lang w:val="en-US" w:eastAsia="zh-CN"/>
        </w:rPr>
        <w:t>906</w:t>
      </w:r>
      <w:r>
        <w:rPr>
          <w:rFonts w:hint="eastAsia" w:ascii="仿宋" w:hAnsi="仿宋" w:eastAsia="仿宋" w:cs="仿宋"/>
          <w:color w:val="auto"/>
        </w:rPr>
        <w:t>万元，预算编制较为科学，预算内容与项目建设内容相匹配，预算额度测算依据充分，预算确定的资金量与工程量相匹配。</w:t>
      </w:r>
    </w:p>
    <w:p>
      <w:pPr>
        <w:bidi w:val="0"/>
        <w:jc w:val="both"/>
        <w:rPr>
          <w:rFonts w:hint="eastAsia" w:ascii="仿宋" w:hAnsi="仿宋" w:eastAsia="仿宋" w:cs="仿宋"/>
          <w:color w:val="auto"/>
        </w:rPr>
      </w:pPr>
      <w:r>
        <w:rPr>
          <w:rFonts w:hint="eastAsia" w:ascii="仿宋" w:hAnsi="仿宋" w:eastAsia="仿宋" w:cs="仿宋"/>
          <w:color w:val="auto"/>
        </w:rPr>
        <w:t>本项满分4分，评估得分4分。</w:t>
      </w:r>
    </w:p>
    <w:p>
      <w:pPr>
        <w:bidi w:val="0"/>
        <w:jc w:val="both"/>
        <w:rPr>
          <w:rFonts w:hint="eastAsia" w:ascii="仿宋" w:hAnsi="仿宋" w:eastAsia="仿宋" w:cs="仿宋"/>
          <w:b/>
          <w:bCs/>
          <w:color w:val="auto"/>
        </w:rPr>
      </w:pPr>
      <w:bookmarkStart w:id="121" w:name="_Toc30661"/>
      <w:bookmarkStart w:id="122" w:name="_Toc21577"/>
      <w:r>
        <w:rPr>
          <w:rFonts w:hint="eastAsia" w:ascii="仿宋" w:hAnsi="仿宋" w:eastAsia="仿宋" w:cs="仿宋"/>
          <w:b/>
          <w:bCs/>
          <w:color w:val="auto"/>
        </w:rPr>
        <w:t>6.资金分配合理性</w:t>
      </w:r>
      <w:bookmarkEnd w:id="121"/>
      <w:bookmarkEnd w:id="122"/>
    </w:p>
    <w:p>
      <w:pPr>
        <w:bidi w:val="0"/>
        <w:jc w:val="both"/>
        <w:rPr>
          <w:rFonts w:hint="eastAsia" w:ascii="仿宋" w:hAnsi="仿宋" w:eastAsia="仿宋" w:cs="仿宋"/>
          <w:color w:val="auto"/>
        </w:rPr>
      </w:pPr>
      <w:r>
        <w:rPr>
          <w:rFonts w:hint="eastAsia" w:ascii="仿宋" w:hAnsi="仿宋" w:eastAsia="仿宋" w:cs="仿宋"/>
          <w:color w:val="auto"/>
        </w:rPr>
        <w:t>本项目预算资金分配依据充分；资金分配额度合理，与项目单位实际相适应。</w:t>
      </w:r>
    </w:p>
    <w:p>
      <w:pPr>
        <w:bidi w:val="0"/>
        <w:jc w:val="both"/>
        <w:rPr>
          <w:rFonts w:hint="eastAsia" w:ascii="仿宋" w:hAnsi="仿宋" w:eastAsia="仿宋" w:cs="仿宋"/>
          <w:color w:val="auto"/>
        </w:rPr>
      </w:pPr>
      <w:r>
        <w:rPr>
          <w:rFonts w:hint="eastAsia" w:ascii="仿宋" w:hAnsi="仿宋" w:eastAsia="仿宋" w:cs="仿宋"/>
          <w:color w:val="auto"/>
        </w:rPr>
        <w:t>本项满分4分，评估得分4分。</w:t>
      </w:r>
    </w:p>
    <w:p>
      <w:pPr>
        <w:pStyle w:val="4"/>
        <w:bidi w:val="0"/>
        <w:jc w:val="both"/>
        <w:outlineLvl w:val="1"/>
        <w:rPr>
          <w:rFonts w:hint="eastAsia" w:ascii="仿宋" w:hAnsi="仿宋" w:eastAsia="仿宋" w:cs="仿宋"/>
          <w:b/>
          <w:color w:val="auto"/>
        </w:rPr>
      </w:pPr>
      <w:bookmarkStart w:id="123" w:name="_Toc13442"/>
      <w:bookmarkStart w:id="124" w:name="_Toc27855"/>
      <w:bookmarkStart w:id="125" w:name="_Toc25227"/>
      <w:bookmarkStart w:id="126" w:name="_Toc30992"/>
      <w:bookmarkStart w:id="127" w:name="_Toc9897"/>
      <w:r>
        <w:rPr>
          <w:rFonts w:hint="eastAsia" w:ascii="仿宋" w:hAnsi="仿宋" w:eastAsia="仿宋" w:cs="仿宋"/>
          <w:b/>
          <w:color w:val="auto"/>
        </w:rPr>
        <w:t>（二）项目过程情况</w:t>
      </w:r>
      <w:bookmarkEnd w:id="123"/>
      <w:bookmarkEnd w:id="124"/>
      <w:bookmarkEnd w:id="125"/>
      <w:bookmarkEnd w:id="126"/>
      <w:bookmarkEnd w:id="127"/>
    </w:p>
    <w:p>
      <w:pPr>
        <w:bidi w:val="0"/>
        <w:jc w:val="both"/>
        <w:rPr>
          <w:rFonts w:hint="eastAsia" w:ascii="仿宋" w:hAnsi="仿宋" w:eastAsia="仿宋" w:cs="仿宋"/>
          <w:b/>
          <w:bCs/>
          <w:color w:val="auto"/>
        </w:rPr>
      </w:pPr>
      <w:bookmarkStart w:id="128" w:name="_Toc29417"/>
      <w:bookmarkStart w:id="129" w:name="_Toc19854"/>
      <w:r>
        <w:rPr>
          <w:rFonts w:hint="eastAsia" w:ascii="仿宋" w:hAnsi="仿宋" w:eastAsia="仿宋" w:cs="仿宋"/>
          <w:b/>
          <w:bCs/>
          <w:color w:val="auto"/>
        </w:rPr>
        <w:t>1.资金到位率</w:t>
      </w:r>
      <w:bookmarkEnd w:id="128"/>
      <w:bookmarkEnd w:id="129"/>
    </w:p>
    <w:p>
      <w:pPr>
        <w:bidi w:val="0"/>
        <w:jc w:val="both"/>
        <w:rPr>
          <w:rFonts w:hint="eastAsia" w:ascii="仿宋" w:hAnsi="仿宋" w:eastAsia="仿宋" w:cs="仿宋"/>
          <w:color w:val="auto"/>
        </w:rPr>
      </w:pPr>
      <w:r>
        <w:rPr>
          <w:rFonts w:hint="eastAsia" w:ascii="仿宋" w:hAnsi="仿宋" w:eastAsia="仿宋" w:cs="仿宋"/>
          <w:color w:val="auto"/>
        </w:rPr>
        <w:t>本项目预算资金</w:t>
      </w:r>
      <w:r>
        <w:rPr>
          <w:rFonts w:hint="eastAsia" w:ascii="仿宋" w:hAnsi="仿宋" w:eastAsia="仿宋" w:cs="仿宋"/>
          <w:color w:val="auto"/>
          <w:lang w:val="en-US" w:eastAsia="zh-CN"/>
        </w:rPr>
        <w:t>906.00</w:t>
      </w:r>
      <w:r>
        <w:rPr>
          <w:rFonts w:hint="eastAsia" w:ascii="仿宋" w:hAnsi="仿宋" w:eastAsia="仿宋" w:cs="仿宋"/>
          <w:color w:val="auto"/>
        </w:rPr>
        <w:t>万元，实际到位资金</w:t>
      </w:r>
      <w:r>
        <w:rPr>
          <w:rFonts w:hint="eastAsia" w:ascii="仿宋" w:hAnsi="仿宋" w:eastAsia="仿宋" w:cs="仿宋"/>
          <w:color w:val="auto"/>
          <w:lang w:val="en-US" w:eastAsia="zh-CN"/>
        </w:rPr>
        <w:t>906.00</w:t>
      </w:r>
      <w:r>
        <w:rPr>
          <w:rFonts w:hint="eastAsia" w:ascii="仿宋" w:hAnsi="仿宋" w:eastAsia="仿宋" w:cs="仿宋"/>
          <w:color w:val="auto"/>
        </w:rPr>
        <w:t>万元，资金到位率</w:t>
      </w:r>
      <w:r>
        <w:rPr>
          <w:rFonts w:hint="eastAsia" w:ascii="仿宋" w:hAnsi="仿宋" w:eastAsia="仿宋" w:cs="仿宋"/>
          <w:color w:val="auto"/>
          <w:highlight w:val="none"/>
        </w:rPr>
        <w:t>100%。</w:t>
      </w:r>
    </w:p>
    <w:p>
      <w:pPr>
        <w:bidi w:val="0"/>
        <w:jc w:val="both"/>
        <w:rPr>
          <w:rFonts w:hint="eastAsia" w:ascii="仿宋" w:hAnsi="仿宋" w:eastAsia="仿宋" w:cs="仿宋"/>
          <w:color w:val="auto"/>
        </w:rPr>
      </w:pPr>
      <w:r>
        <w:rPr>
          <w:rFonts w:hint="eastAsia" w:ascii="仿宋" w:hAnsi="仿宋" w:eastAsia="仿宋" w:cs="仿宋"/>
          <w:color w:val="auto"/>
        </w:rPr>
        <w:t>本项满分4分，评估得分4分。</w:t>
      </w:r>
    </w:p>
    <w:p>
      <w:pPr>
        <w:bidi w:val="0"/>
        <w:jc w:val="both"/>
        <w:rPr>
          <w:rFonts w:hint="eastAsia" w:ascii="仿宋" w:hAnsi="仿宋" w:eastAsia="仿宋" w:cs="仿宋"/>
          <w:b/>
          <w:bCs/>
          <w:color w:val="auto"/>
        </w:rPr>
      </w:pPr>
      <w:bookmarkStart w:id="130" w:name="_Toc29889"/>
      <w:bookmarkStart w:id="131" w:name="_Toc13724"/>
      <w:r>
        <w:rPr>
          <w:rFonts w:hint="eastAsia" w:ascii="仿宋" w:hAnsi="仿宋" w:eastAsia="仿宋" w:cs="仿宋"/>
          <w:b/>
          <w:bCs/>
          <w:color w:val="auto"/>
        </w:rPr>
        <w:t>2.预算执行率</w:t>
      </w:r>
      <w:bookmarkEnd w:id="130"/>
      <w:bookmarkEnd w:id="131"/>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rPr>
        <w:t>本项目到位资金</w:t>
      </w:r>
      <w:r>
        <w:rPr>
          <w:rFonts w:hint="eastAsia" w:ascii="仿宋" w:hAnsi="仿宋" w:eastAsia="仿宋" w:cs="仿宋"/>
          <w:color w:val="auto"/>
          <w:lang w:val="en-US" w:eastAsia="zh-CN"/>
        </w:rPr>
        <w:t>906.00</w:t>
      </w:r>
      <w:r>
        <w:rPr>
          <w:rFonts w:hint="eastAsia" w:ascii="仿宋" w:hAnsi="仿宋" w:eastAsia="仿宋" w:cs="仿宋"/>
          <w:color w:val="auto"/>
        </w:rPr>
        <w:t>万元，实际支付资金</w:t>
      </w:r>
      <w:r>
        <w:rPr>
          <w:rFonts w:hint="eastAsia" w:ascii="仿宋" w:hAnsi="仿宋" w:eastAsia="仿宋" w:cs="仿宋"/>
          <w:color w:val="auto"/>
          <w:lang w:val="en-US" w:eastAsia="zh-CN"/>
        </w:rPr>
        <w:t>878.08</w:t>
      </w:r>
      <w:r>
        <w:rPr>
          <w:rFonts w:hint="eastAsia" w:ascii="仿宋" w:hAnsi="仿宋" w:eastAsia="仿宋" w:cs="仿宋"/>
          <w:color w:val="auto"/>
        </w:rPr>
        <w:t>万元，预算执行率为</w:t>
      </w:r>
      <w:r>
        <w:rPr>
          <w:rFonts w:hint="eastAsia" w:ascii="仿宋" w:hAnsi="仿宋" w:eastAsia="仿宋" w:cs="仿宋"/>
          <w:color w:val="auto"/>
          <w:highlight w:val="none"/>
          <w:lang w:val="en-US" w:eastAsia="zh-CN"/>
        </w:rPr>
        <w:t>96.62</w:t>
      </w:r>
      <w:r>
        <w:rPr>
          <w:rFonts w:hint="eastAsia" w:ascii="仿宋" w:hAnsi="仿宋" w:eastAsia="仿宋" w:cs="仿宋"/>
          <w:color w:val="auto"/>
          <w:highlight w:val="none"/>
        </w:rPr>
        <w:t>%</w:t>
      </w:r>
      <w:r>
        <w:rPr>
          <w:rFonts w:hint="eastAsia" w:ascii="仿宋" w:hAnsi="仿宋" w:eastAsia="仿宋" w:cs="仿宋"/>
        </w:rPr>
        <w:t>。</w:t>
      </w:r>
      <w:r>
        <w:rPr>
          <w:rFonts w:hint="eastAsia" w:ascii="仿宋" w:hAnsi="仿宋" w:eastAsia="仿宋" w:cs="仿宋"/>
          <w:lang w:val="en-US" w:eastAsia="zh-CN"/>
        </w:rPr>
        <w:t>原因是：</w:t>
      </w:r>
      <w:r>
        <w:rPr>
          <w:rFonts w:hint="eastAsia" w:ascii="仿宋" w:hAnsi="仿宋" w:eastAsia="仿宋" w:cs="仿宋"/>
          <w:color w:val="auto"/>
          <w:lang w:val="en-US" w:eastAsia="zh-CN"/>
        </w:rPr>
        <w:t>截止2024年底，项目尚未完结，资金未支付完毕。</w:t>
      </w:r>
    </w:p>
    <w:p>
      <w:pPr>
        <w:bidi w:val="0"/>
        <w:jc w:val="both"/>
        <w:rPr>
          <w:rFonts w:hint="eastAsia" w:ascii="仿宋" w:hAnsi="仿宋" w:eastAsia="仿宋" w:cs="仿宋"/>
          <w:color w:val="auto"/>
        </w:rPr>
      </w:pPr>
      <w:r>
        <w:rPr>
          <w:rFonts w:hint="eastAsia" w:ascii="仿宋" w:hAnsi="仿宋" w:eastAsia="仿宋" w:cs="仿宋"/>
          <w:color w:val="auto"/>
        </w:rPr>
        <w:t>本项满分4分，评估得分</w:t>
      </w:r>
      <w:r>
        <w:rPr>
          <w:rFonts w:hint="eastAsia" w:ascii="仿宋" w:hAnsi="仿宋" w:eastAsia="仿宋" w:cs="仿宋"/>
          <w:color w:val="auto"/>
          <w:lang w:val="en-US" w:eastAsia="zh-CN"/>
        </w:rPr>
        <w:t>3.86</w:t>
      </w:r>
      <w:r>
        <w:rPr>
          <w:rFonts w:hint="eastAsia" w:ascii="仿宋" w:hAnsi="仿宋" w:eastAsia="仿宋" w:cs="仿宋"/>
          <w:color w:val="auto"/>
        </w:rPr>
        <w:t>分。</w:t>
      </w:r>
    </w:p>
    <w:p>
      <w:pPr>
        <w:bidi w:val="0"/>
        <w:jc w:val="both"/>
        <w:rPr>
          <w:rFonts w:hint="eastAsia" w:ascii="仿宋" w:hAnsi="仿宋" w:eastAsia="仿宋" w:cs="仿宋"/>
          <w:b/>
          <w:bCs/>
          <w:color w:val="auto"/>
        </w:rPr>
      </w:pPr>
      <w:bookmarkStart w:id="132" w:name="_Toc2484"/>
      <w:bookmarkStart w:id="133" w:name="_Toc8316"/>
      <w:r>
        <w:rPr>
          <w:rFonts w:hint="eastAsia" w:ascii="仿宋" w:hAnsi="仿宋" w:eastAsia="仿宋" w:cs="仿宋"/>
          <w:b/>
          <w:bCs/>
          <w:color w:val="auto"/>
        </w:rPr>
        <w:t>3.资金使用合规性</w:t>
      </w:r>
      <w:bookmarkEnd w:id="132"/>
      <w:bookmarkEnd w:id="133"/>
    </w:p>
    <w:p>
      <w:pPr>
        <w:bidi w:val="0"/>
        <w:jc w:val="both"/>
        <w:rPr>
          <w:rFonts w:hint="eastAsia" w:ascii="仿宋" w:hAnsi="仿宋" w:eastAsia="仿宋" w:cs="仿宋"/>
          <w:color w:val="auto"/>
          <w:highlight w:val="none"/>
        </w:rPr>
      </w:pPr>
      <w:r>
        <w:rPr>
          <w:rFonts w:hint="eastAsia" w:ascii="仿宋" w:hAnsi="仿宋" w:eastAsia="仿宋" w:cs="仿宋"/>
          <w:color w:val="auto"/>
        </w:rPr>
        <w:t>本项目资金的</w:t>
      </w:r>
      <w:r>
        <w:rPr>
          <w:rFonts w:hint="eastAsia" w:ascii="仿宋" w:hAnsi="仿宋" w:eastAsia="仿宋" w:cs="仿宋"/>
          <w:color w:val="auto"/>
          <w:highlight w:val="none"/>
        </w:rPr>
        <w:t>使用符合</w:t>
      </w:r>
      <w:r>
        <w:rPr>
          <w:rFonts w:hint="eastAsia" w:ascii="仿宋" w:hAnsi="仿宋" w:eastAsia="仿宋" w:cs="仿宋"/>
          <w:color w:val="auto"/>
          <w:highlight w:val="none"/>
          <w:lang w:val="en-US" w:eastAsia="zh-CN"/>
        </w:rPr>
        <w:t>《中华人民共和国预算法》《中华人民共和国会计法》《中华人民共和国招标投标法》等</w:t>
      </w:r>
      <w:r>
        <w:rPr>
          <w:rFonts w:hint="eastAsia" w:ascii="仿宋" w:hAnsi="仿宋" w:eastAsia="仿宋" w:cs="仿宋"/>
          <w:color w:val="auto"/>
          <w:highlight w:val="none"/>
          <w:lang w:eastAsia="zh-CN"/>
        </w:rPr>
        <w:t>国家</w:t>
      </w:r>
      <w:r>
        <w:rPr>
          <w:rFonts w:hint="eastAsia" w:ascii="仿宋" w:hAnsi="仿宋" w:eastAsia="仿宋" w:cs="仿宋"/>
          <w:color w:val="auto"/>
          <w:highlight w:val="none"/>
          <w:lang w:val="en-US" w:eastAsia="zh-CN"/>
        </w:rPr>
        <w:t>有关</w:t>
      </w:r>
      <w:r>
        <w:rPr>
          <w:rFonts w:hint="eastAsia" w:ascii="仿宋" w:hAnsi="仿宋" w:eastAsia="仿宋" w:cs="仿宋"/>
          <w:color w:val="auto"/>
          <w:highlight w:val="none"/>
          <w:lang w:eastAsia="zh-CN"/>
        </w:rPr>
        <w:t>财经法规</w:t>
      </w:r>
      <w:r>
        <w:rPr>
          <w:rFonts w:hint="eastAsia" w:ascii="仿宋" w:hAnsi="仿宋" w:eastAsia="仿宋" w:cs="仿宋"/>
          <w:color w:val="auto"/>
          <w:highlight w:val="none"/>
          <w:lang w:val="en-US" w:eastAsia="zh-CN"/>
        </w:rPr>
        <w:t>以及预算管理制度。</w:t>
      </w:r>
      <w:r>
        <w:rPr>
          <w:rFonts w:hint="eastAsia" w:ascii="仿宋" w:hAnsi="仿宋" w:eastAsia="仿宋" w:cs="仿宋"/>
          <w:color w:val="auto"/>
          <w:highlight w:val="none"/>
        </w:rPr>
        <w:t>资金的</w:t>
      </w:r>
      <w:r>
        <w:rPr>
          <w:rFonts w:hint="eastAsia" w:ascii="仿宋" w:hAnsi="仿宋" w:eastAsia="仿宋" w:cs="仿宋"/>
          <w:color w:val="auto"/>
          <w:highlight w:val="none"/>
          <w:lang w:val="en-US" w:eastAsia="zh-CN"/>
        </w:rPr>
        <w:t>审批和</w:t>
      </w:r>
      <w:r>
        <w:rPr>
          <w:rFonts w:hint="eastAsia" w:ascii="仿宋" w:hAnsi="仿宋" w:eastAsia="仿宋" w:cs="仿宋"/>
          <w:color w:val="auto"/>
          <w:highlight w:val="none"/>
        </w:rPr>
        <w:t>拨付</w:t>
      </w:r>
      <w:r>
        <w:rPr>
          <w:rFonts w:hint="eastAsia" w:ascii="仿宋" w:hAnsi="仿宋" w:eastAsia="仿宋" w:cs="仿宋"/>
          <w:color w:val="auto"/>
          <w:highlight w:val="none"/>
          <w:lang w:val="en-US" w:eastAsia="zh-CN"/>
        </w:rPr>
        <w:t>按照《尉犁县财政资金审批管理办法》执行</w:t>
      </w:r>
      <w:r>
        <w:rPr>
          <w:rFonts w:hint="eastAsia" w:ascii="仿宋" w:hAnsi="仿宋" w:eastAsia="仿宋" w:cs="仿宋"/>
          <w:color w:val="auto"/>
          <w:highlight w:val="none"/>
        </w:rPr>
        <w:t>。资金的拨付有完整的审批程序和手续；资金使用符合专项资金支持的范围。不存在截留、挤占、挪用、虚列支出等情况。</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本项满分4分，评估得分4分。</w:t>
      </w:r>
    </w:p>
    <w:p>
      <w:pPr>
        <w:bidi w:val="0"/>
        <w:jc w:val="both"/>
        <w:rPr>
          <w:rFonts w:hint="eastAsia" w:ascii="仿宋" w:hAnsi="仿宋" w:eastAsia="仿宋" w:cs="仿宋"/>
          <w:b/>
          <w:bCs/>
          <w:color w:val="auto"/>
          <w:highlight w:val="none"/>
        </w:rPr>
      </w:pPr>
      <w:bookmarkStart w:id="134" w:name="_Toc20651"/>
      <w:bookmarkStart w:id="135" w:name="_Toc15332"/>
      <w:r>
        <w:rPr>
          <w:rFonts w:hint="eastAsia" w:ascii="仿宋" w:hAnsi="仿宋" w:eastAsia="仿宋" w:cs="仿宋"/>
          <w:b/>
          <w:bCs/>
          <w:color w:val="auto"/>
          <w:highlight w:val="none"/>
        </w:rPr>
        <w:t>4.管理制度健全性</w:t>
      </w:r>
      <w:bookmarkEnd w:id="134"/>
      <w:bookmarkEnd w:id="135"/>
    </w:p>
    <w:p>
      <w:pPr>
        <w:bidi w:val="0"/>
        <w:jc w:val="both"/>
        <w:rPr>
          <w:rFonts w:hint="eastAsia" w:ascii="仿宋" w:hAnsi="仿宋" w:eastAsia="仿宋" w:cs="仿宋"/>
          <w:color w:val="auto"/>
        </w:rPr>
      </w:pPr>
      <w:r>
        <w:rPr>
          <w:rFonts w:hint="eastAsia" w:ascii="仿宋" w:hAnsi="仿宋" w:eastAsia="仿宋" w:cs="仿宋"/>
          <w:color w:val="auto"/>
          <w:highlight w:val="none"/>
          <w:lang w:val="en-US" w:eastAsia="zh-CN"/>
        </w:rPr>
        <w:t>尉犁县文化体育广播影视局(旅游局)</w:t>
      </w:r>
      <w:r>
        <w:rPr>
          <w:rFonts w:hint="eastAsia" w:ascii="仿宋" w:hAnsi="仿宋" w:eastAsia="仿宋" w:cs="仿宋"/>
          <w:color w:val="auto"/>
          <w:highlight w:val="none"/>
        </w:rPr>
        <w:t>制定了</w:t>
      </w:r>
      <w:r>
        <w:rPr>
          <w:rFonts w:hint="eastAsia" w:ascii="仿宋" w:hAnsi="仿宋" w:eastAsia="仿宋" w:cs="仿宋"/>
          <w:color w:val="auto"/>
          <w:highlight w:val="none"/>
          <w:lang w:val="en-US" w:eastAsia="zh-CN"/>
        </w:rPr>
        <w:t>《尉犁县文化体育广播影视局(旅游局)财务管理制度》和《尉犁县文化体育广播影视局(旅游局)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hint="eastAsia" w:ascii="仿宋" w:hAnsi="仿宋" w:eastAsia="仿宋" w:cs="仿宋"/>
          <w:color w:val="auto"/>
          <w:highlight w:val="none"/>
        </w:rPr>
        <w:t>资金管理等方面都做出明确的规范的要求</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财务制度和</w:t>
      </w:r>
      <w:r>
        <w:rPr>
          <w:rFonts w:hint="eastAsia" w:ascii="仿宋" w:hAnsi="仿宋" w:eastAsia="仿宋" w:cs="仿宋"/>
          <w:color w:val="auto"/>
        </w:rPr>
        <w:t>业务管理制度</w:t>
      </w:r>
      <w:r>
        <w:rPr>
          <w:rFonts w:hint="eastAsia" w:ascii="仿宋" w:hAnsi="仿宋" w:eastAsia="仿宋" w:cs="仿宋"/>
          <w:color w:val="auto"/>
          <w:lang w:val="en-US" w:eastAsia="zh-CN"/>
        </w:rPr>
        <w:t>健全</w:t>
      </w:r>
      <w:r>
        <w:rPr>
          <w:rFonts w:hint="eastAsia" w:ascii="仿宋" w:hAnsi="仿宋" w:eastAsia="仿宋" w:cs="仿宋"/>
          <w:color w:val="auto"/>
        </w:rPr>
        <w:t>。</w:t>
      </w:r>
    </w:p>
    <w:p>
      <w:pPr>
        <w:bidi w:val="0"/>
        <w:jc w:val="both"/>
        <w:rPr>
          <w:rFonts w:hint="eastAsia" w:ascii="仿宋" w:hAnsi="仿宋" w:eastAsia="仿宋" w:cs="仿宋"/>
          <w:color w:val="auto"/>
        </w:rPr>
      </w:pPr>
      <w:r>
        <w:rPr>
          <w:rFonts w:hint="eastAsia" w:ascii="仿宋" w:hAnsi="仿宋" w:eastAsia="仿宋" w:cs="仿宋"/>
          <w:color w:val="auto"/>
        </w:rPr>
        <w:t>本项满分3分，评估得分3分。</w:t>
      </w:r>
    </w:p>
    <w:p>
      <w:pPr>
        <w:bidi w:val="0"/>
        <w:jc w:val="both"/>
        <w:rPr>
          <w:rFonts w:hint="eastAsia" w:ascii="仿宋" w:hAnsi="仿宋" w:eastAsia="仿宋" w:cs="仿宋"/>
          <w:b/>
          <w:bCs/>
          <w:color w:val="auto"/>
        </w:rPr>
      </w:pPr>
      <w:bookmarkStart w:id="136" w:name="_Toc14023"/>
      <w:bookmarkStart w:id="137" w:name="_Toc14853"/>
      <w:r>
        <w:rPr>
          <w:rFonts w:hint="eastAsia" w:ascii="仿宋" w:hAnsi="仿宋" w:eastAsia="仿宋" w:cs="仿宋"/>
          <w:b/>
          <w:bCs/>
          <w:color w:val="auto"/>
        </w:rPr>
        <w:t>5.制度执行有效性</w:t>
      </w:r>
      <w:bookmarkEnd w:id="136"/>
      <w:bookmarkEnd w:id="137"/>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rPr>
        <w:t>本项目在实施过程中严格遵守相关法律法规和相关管理规定，如《中华人民共和国预算法</w:t>
      </w:r>
      <w:r>
        <w:rPr>
          <w:rFonts w:hint="eastAsia" w:ascii="仿宋" w:hAnsi="仿宋" w:eastAsia="仿宋" w:cs="仿宋"/>
          <w:color w:val="auto"/>
          <w:lang w:eastAsia="zh-CN"/>
        </w:rPr>
        <w:t>》《</w:t>
      </w:r>
      <w:r>
        <w:rPr>
          <w:rFonts w:hint="eastAsia" w:ascii="仿宋" w:hAnsi="仿宋" w:eastAsia="仿宋" w:cs="仿宋"/>
          <w:color w:val="auto"/>
        </w:rPr>
        <w:t>中华人民共和国会计法</w:t>
      </w:r>
      <w:r>
        <w:rPr>
          <w:rFonts w:hint="eastAsia" w:ascii="仿宋" w:hAnsi="仿宋" w:eastAsia="仿宋" w:cs="仿宋"/>
          <w:color w:val="auto"/>
          <w:lang w:eastAsia="zh-CN"/>
        </w:rPr>
        <w:t>》《</w:t>
      </w:r>
      <w:r>
        <w:rPr>
          <w:rFonts w:hint="eastAsia" w:ascii="仿宋" w:hAnsi="仿宋" w:eastAsia="仿宋" w:cs="仿宋"/>
          <w:color w:val="auto"/>
        </w:rPr>
        <w:t>中华人民共和国</w:t>
      </w:r>
      <w:r>
        <w:rPr>
          <w:rFonts w:hint="eastAsia" w:ascii="仿宋" w:hAnsi="仿宋" w:eastAsia="仿宋" w:cs="仿宋"/>
          <w:color w:val="auto"/>
          <w:lang w:val="en-US" w:eastAsia="zh-CN"/>
        </w:rPr>
        <w:t>政府</w:t>
      </w:r>
      <w:r>
        <w:rPr>
          <w:rFonts w:hint="eastAsia" w:ascii="仿宋" w:hAnsi="仿宋" w:eastAsia="仿宋" w:cs="仿宋"/>
          <w:color w:val="auto"/>
        </w:rPr>
        <w:t>采购法》等，严格执行基本建设程序，执行项目法人责任制、招标投标制、工程监理制和合同管理制，项目勘察、设计、施工、监理均符合国家和自治区有关</w:t>
      </w:r>
      <w:r>
        <w:rPr>
          <w:rFonts w:hint="eastAsia" w:ascii="仿宋" w:hAnsi="仿宋" w:eastAsia="仿宋" w:cs="仿宋"/>
          <w:color w:val="auto"/>
          <w:lang w:val="en-US" w:eastAsia="zh-CN"/>
        </w:rPr>
        <w:t>规定</w:t>
      </w:r>
      <w:r>
        <w:rPr>
          <w:rFonts w:hint="eastAsia" w:ascii="仿宋" w:hAnsi="仿宋" w:eastAsia="仿宋" w:cs="仿宋"/>
          <w:color w:val="auto"/>
        </w:rPr>
        <w:t>和施工规范。</w:t>
      </w:r>
      <w:r>
        <w:rPr>
          <w:rFonts w:hint="eastAsia" w:ascii="仿宋" w:hAnsi="仿宋" w:eastAsia="仿宋" w:cs="仿宋"/>
          <w:color w:val="auto"/>
          <w:highlight w:val="none"/>
          <w:lang w:val="en-US" w:eastAsia="zh-CN"/>
        </w:rPr>
        <w:t>本项目无项目调整及支出调整，制度执行有效性较高</w:t>
      </w:r>
    </w:p>
    <w:p>
      <w:pPr>
        <w:bidi w:val="0"/>
        <w:jc w:val="both"/>
        <w:rPr>
          <w:rFonts w:hint="eastAsia" w:ascii="仿宋" w:hAnsi="仿宋" w:eastAsia="仿宋" w:cs="仿宋"/>
          <w:color w:val="auto"/>
        </w:rPr>
      </w:pPr>
      <w:r>
        <w:rPr>
          <w:rFonts w:hint="eastAsia" w:ascii="仿宋" w:hAnsi="仿宋" w:eastAsia="仿宋" w:cs="仿宋"/>
          <w:color w:val="auto"/>
        </w:rPr>
        <w:t>本项满分3分，评估得分3分。</w:t>
      </w:r>
    </w:p>
    <w:p>
      <w:pPr>
        <w:pStyle w:val="4"/>
        <w:bidi w:val="0"/>
        <w:jc w:val="both"/>
        <w:outlineLvl w:val="1"/>
        <w:rPr>
          <w:rFonts w:hint="eastAsia" w:ascii="仿宋" w:hAnsi="仿宋" w:eastAsia="仿宋" w:cs="仿宋"/>
          <w:color w:val="auto"/>
        </w:rPr>
      </w:pPr>
      <w:bookmarkStart w:id="138" w:name="_Toc1653"/>
      <w:bookmarkStart w:id="139" w:name="_Toc6865"/>
      <w:bookmarkStart w:id="140" w:name="_Toc31545"/>
      <w:bookmarkStart w:id="141" w:name="_Toc5161"/>
      <w:bookmarkStart w:id="142" w:name="_Toc22156"/>
      <w:r>
        <w:rPr>
          <w:rFonts w:hint="eastAsia" w:ascii="仿宋" w:hAnsi="仿宋" w:eastAsia="仿宋" w:cs="仿宋"/>
          <w:color w:val="auto"/>
        </w:rPr>
        <w:t>（三）项目产出情况</w:t>
      </w:r>
      <w:bookmarkEnd w:id="138"/>
      <w:bookmarkEnd w:id="139"/>
      <w:bookmarkEnd w:id="140"/>
      <w:bookmarkEnd w:id="141"/>
      <w:bookmarkEnd w:id="142"/>
    </w:p>
    <w:p>
      <w:pPr>
        <w:bidi w:val="0"/>
        <w:jc w:val="both"/>
        <w:rPr>
          <w:rFonts w:hint="eastAsia" w:ascii="仿宋" w:hAnsi="仿宋" w:eastAsia="仿宋" w:cs="仿宋"/>
          <w:b/>
          <w:bCs/>
          <w:color w:val="auto"/>
        </w:rPr>
      </w:pPr>
      <w:bookmarkStart w:id="143" w:name="_Toc31041"/>
      <w:bookmarkStart w:id="144" w:name="_Toc4184"/>
      <w:r>
        <w:rPr>
          <w:rFonts w:hint="eastAsia" w:ascii="仿宋" w:hAnsi="仿宋" w:eastAsia="仿宋" w:cs="仿宋"/>
          <w:b/>
          <w:bCs/>
          <w:color w:val="auto"/>
        </w:rPr>
        <w:t>1.产出数量</w:t>
      </w:r>
      <w:bookmarkEnd w:id="143"/>
      <w:bookmarkEnd w:id="144"/>
    </w:p>
    <w:p>
      <w:pPr>
        <w:bidi w:val="0"/>
        <w:jc w:val="both"/>
        <w:rPr>
          <w:rFonts w:hint="eastAsia" w:ascii="仿宋" w:hAnsi="仿宋" w:eastAsia="仿宋" w:cs="仿宋"/>
          <w:lang w:val="en-US" w:eastAsia="zh-CN"/>
        </w:rPr>
      </w:pPr>
      <w:r>
        <w:rPr>
          <w:rFonts w:hint="eastAsia" w:ascii="仿宋" w:hAnsi="仿宋" w:eastAsia="仿宋" w:cs="仿宋"/>
          <w:bCs/>
          <w:color w:val="auto"/>
          <w:szCs w:val="32"/>
          <w:highlight w:val="none"/>
          <w:lang w:val="en-US" w:eastAsia="zh-CN"/>
        </w:rPr>
        <w:t>指标1：</w:t>
      </w:r>
      <w:r>
        <w:rPr>
          <w:rFonts w:hint="eastAsia" w:ascii="仿宋" w:hAnsi="仿宋" w:eastAsia="仿宋" w:cs="仿宋"/>
          <w:color w:val="auto"/>
          <w:lang w:val="en-US" w:eastAsia="zh-CN"/>
        </w:rPr>
        <w:t>建设驿站数量</w:t>
      </w:r>
      <w:r>
        <w:rPr>
          <w:rFonts w:hint="eastAsia" w:ascii="仿宋" w:hAnsi="仿宋" w:eastAsia="仿宋" w:cs="仿宋"/>
          <w:color w:val="auto"/>
        </w:rPr>
        <w:t>，预期指标值</w:t>
      </w:r>
      <w:r>
        <w:rPr>
          <w:rFonts w:hint="eastAsia" w:ascii="仿宋" w:hAnsi="仿宋" w:eastAsia="仿宋" w:cs="仿宋"/>
          <w:color w:val="auto"/>
          <w:lang w:val="en-US" w:eastAsia="zh-CN"/>
        </w:rPr>
        <w:t>等于1个</w:t>
      </w:r>
      <w:r>
        <w:rPr>
          <w:rFonts w:hint="eastAsia" w:ascii="仿宋" w:hAnsi="仿宋" w:eastAsia="仿宋" w:cs="仿宋"/>
          <w:color w:val="auto"/>
        </w:rPr>
        <w:t>，指标完成值：</w:t>
      </w:r>
      <w:r>
        <w:rPr>
          <w:rFonts w:hint="eastAsia" w:ascii="仿宋" w:hAnsi="仿宋" w:eastAsia="仿宋" w:cs="仿宋"/>
          <w:color w:val="auto"/>
          <w:lang w:val="en-US" w:eastAsia="zh-CN"/>
        </w:rPr>
        <w:t>2个</w:t>
      </w:r>
      <w:r>
        <w:rPr>
          <w:rFonts w:hint="eastAsia" w:ascii="仿宋" w:hAnsi="仿宋" w:eastAsia="仿宋" w:cs="仿宋"/>
          <w:color w:val="auto"/>
        </w:rPr>
        <w:t>，完成率：</w:t>
      </w:r>
      <w:r>
        <w:rPr>
          <w:rFonts w:hint="eastAsia" w:ascii="仿宋" w:hAnsi="仿宋" w:eastAsia="仿宋" w:cs="仿宋"/>
          <w:color w:val="auto"/>
          <w:lang w:val="en-US" w:eastAsia="zh-CN"/>
        </w:rPr>
        <w:t>200%</w:t>
      </w:r>
      <w:r>
        <w:rPr>
          <w:rFonts w:hint="eastAsia" w:ascii="仿宋" w:hAnsi="仿宋" w:eastAsia="仿宋" w:cs="仿宋"/>
          <w:color w:val="auto"/>
        </w:rPr>
        <w:t>；</w:t>
      </w:r>
      <w:r>
        <w:rPr>
          <w:rFonts w:hint="eastAsia" w:ascii="仿宋" w:hAnsi="仿宋" w:eastAsia="仿宋" w:cs="仿宋"/>
          <w:lang w:val="en-US" w:eastAsia="zh-CN"/>
        </w:rPr>
        <w:t>原因：绩效目标设置时不准确，实际建设驿站数2个。</w:t>
      </w:r>
    </w:p>
    <w:p>
      <w:pPr>
        <w:bidi w:val="0"/>
        <w:jc w:val="both"/>
        <w:rPr>
          <w:rFonts w:hint="eastAsia" w:ascii="仿宋" w:hAnsi="仿宋" w:eastAsia="仿宋" w:cs="仿宋"/>
          <w:color w:val="auto"/>
        </w:rPr>
      </w:pPr>
      <w:r>
        <w:rPr>
          <w:rFonts w:hint="eastAsia" w:ascii="仿宋" w:hAnsi="仿宋" w:eastAsia="仿宋" w:cs="仿宋"/>
          <w:b w:val="0"/>
          <w:bCs/>
          <w:color w:val="auto"/>
          <w:kern w:val="2"/>
          <w:sz w:val="32"/>
          <w:szCs w:val="32"/>
          <w:highlight w:val="none"/>
          <w:lang w:val="en-US" w:eastAsia="zh-CN" w:bidi="ar-SA"/>
        </w:rPr>
        <w:t>指标2：</w:t>
      </w:r>
      <w:r>
        <w:rPr>
          <w:rFonts w:hint="eastAsia" w:ascii="仿宋" w:hAnsi="仿宋" w:eastAsia="仿宋" w:cs="仿宋"/>
          <w:color w:val="auto"/>
          <w:lang w:val="en-US" w:eastAsia="zh-CN"/>
        </w:rPr>
        <w:t>安装智能系统数量</w:t>
      </w:r>
      <w:r>
        <w:rPr>
          <w:rFonts w:hint="eastAsia" w:ascii="仿宋" w:hAnsi="仿宋" w:eastAsia="仿宋" w:cs="仿宋"/>
          <w:color w:val="auto"/>
        </w:rPr>
        <w:t>，预期指标值</w:t>
      </w:r>
      <w:r>
        <w:rPr>
          <w:rFonts w:hint="eastAsia" w:ascii="仿宋" w:hAnsi="仿宋" w:eastAsia="仿宋" w:cs="仿宋"/>
          <w:color w:val="auto"/>
          <w:lang w:val="en-US" w:eastAsia="zh-CN"/>
        </w:rPr>
        <w:t>等于1个</w:t>
      </w:r>
      <w:r>
        <w:rPr>
          <w:rFonts w:hint="eastAsia" w:ascii="仿宋" w:hAnsi="仿宋" w:eastAsia="仿宋" w:cs="仿宋"/>
          <w:color w:val="auto"/>
        </w:rPr>
        <w:t>，指标完成值：</w:t>
      </w:r>
      <w:r>
        <w:rPr>
          <w:rFonts w:hint="eastAsia" w:ascii="仿宋" w:hAnsi="仿宋" w:eastAsia="仿宋" w:cs="仿宋"/>
          <w:color w:val="auto"/>
          <w:lang w:val="en-US" w:eastAsia="zh-CN"/>
        </w:rPr>
        <w:t>1个</w:t>
      </w:r>
      <w:r>
        <w:rPr>
          <w:rFonts w:hint="eastAsia" w:ascii="仿宋" w:hAnsi="仿宋" w:eastAsia="仿宋" w:cs="仿宋"/>
          <w:color w:val="auto"/>
        </w:rPr>
        <w:t>，完成率：</w:t>
      </w:r>
      <w:r>
        <w:rPr>
          <w:rFonts w:hint="eastAsia" w:ascii="仿宋" w:hAnsi="仿宋" w:eastAsia="仿宋" w:cs="仿宋"/>
          <w:color w:val="auto"/>
          <w:lang w:val="en-US" w:eastAsia="zh-CN"/>
        </w:rPr>
        <w:t>100%</w:t>
      </w:r>
      <w:r>
        <w:rPr>
          <w:rFonts w:hint="eastAsia" w:ascii="仿宋" w:hAnsi="仿宋" w:eastAsia="仿宋" w:cs="仿宋"/>
          <w:color w:val="auto"/>
        </w:rPr>
        <w:t>；</w:t>
      </w:r>
    </w:p>
    <w:p>
      <w:pPr>
        <w:bidi w:val="0"/>
        <w:jc w:val="both"/>
        <w:rPr>
          <w:rFonts w:hint="eastAsia" w:ascii="仿宋" w:hAnsi="仿宋" w:eastAsia="仿宋" w:cs="仿宋"/>
          <w:b w:val="0"/>
          <w:bCs/>
          <w:color w:val="auto"/>
          <w:lang w:val="en-US" w:eastAsia="zh-CN"/>
        </w:rPr>
      </w:pPr>
      <w:r>
        <w:rPr>
          <w:rFonts w:hint="eastAsia" w:ascii="仿宋" w:hAnsi="仿宋" w:eastAsia="仿宋" w:cs="仿宋"/>
          <w:b w:val="0"/>
          <w:bCs/>
          <w:color w:val="auto"/>
          <w:lang w:val="en-US" w:eastAsia="zh-CN"/>
        </w:rPr>
        <w:t>指标3：建设木栈道数量，</w:t>
      </w:r>
      <w:r>
        <w:rPr>
          <w:rFonts w:hint="eastAsia" w:ascii="仿宋" w:hAnsi="仿宋" w:eastAsia="仿宋" w:cs="仿宋"/>
          <w:color w:val="auto"/>
        </w:rPr>
        <w:t>预期指标值</w:t>
      </w:r>
      <w:r>
        <w:rPr>
          <w:rFonts w:hint="eastAsia" w:ascii="仿宋" w:hAnsi="仿宋" w:eastAsia="仿宋" w:cs="仿宋"/>
          <w:color w:val="auto"/>
          <w:lang w:val="en-US" w:eastAsia="zh-CN"/>
        </w:rPr>
        <w:t>等于1个</w:t>
      </w:r>
      <w:r>
        <w:rPr>
          <w:rFonts w:hint="eastAsia" w:ascii="仿宋" w:hAnsi="仿宋" w:eastAsia="仿宋" w:cs="仿宋"/>
          <w:color w:val="auto"/>
        </w:rPr>
        <w:t>，指标完成值：</w:t>
      </w:r>
      <w:r>
        <w:rPr>
          <w:rFonts w:hint="eastAsia" w:ascii="仿宋" w:hAnsi="仿宋" w:eastAsia="仿宋" w:cs="仿宋"/>
          <w:color w:val="auto"/>
          <w:lang w:val="en-US" w:eastAsia="zh-CN"/>
        </w:rPr>
        <w:t>1个</w:t>
      </w:r>
      <w:r>
        <w:rPr>
          <w:rFonts w:hint="eastAsia" w:ascii="仿宋" w:hAnsi="仿宋" w:eastAsia="仿宋" w:cs="仿宋"/>
          <w:color w:val="auto"/>
        </w:rPr>
        <w:t>，完成率：</w:t>
      </w:r>
      <w:r>
        <w:rPr>
          <w:rFonts w:hint="eastAsia" w:ascii="仿宋" w:hAnsi="仿宋" w:eastAsia="仿宋" w:cs="仿宋"/>
          <w:color w:val="auto"/>
          <w:lang w:val="en-US" w:eastAsia="zh-CN"/>
        </w:rPr>
        <w:t>100%</w:t>
      </w:r>
      <w:r>
        <w:rPr>
          <w:rFonts w:hint="eastAsia" w:ascii="仿宋" w:hAnsi="仿宋" w:eastAsia="仿宋" w:cs="仿宋"/>
          <w:color w:val="auto"/>
        </w:rPr>
        <w:t>；</w:t>
      </w:r>
    </w:p>
    <w:p>
      <w:pPr>
        <w:bidi w:val="0"/>
        <w:jc w:val="both"/>
        <w:rPr>
          <w:rFonts w:hint="eastAsia" w:ascii="仿宋" w:hAnsi="仿宋" w:eastAsia="仿宋" w:cs="仿宋"/>
          <w:color w:val="auto"/>
        </w:rPr>
      </w:pPr>
      <w:r>
        <w:rPr>
          <w:rFonts w:hint="eastAsia" w:ascii="仿宋" w:hAnsi="仿宋" w:eastAsia="仿宋" w:cs="仿宋"/>
          <w:color w:val="auto"/>
        </w:rPr>
        <w:t>本项满分12分，评估得分</w:t>
      </w:r>
      <w:r>
        <w:rPr>
          <w:rFonts w:hint="eastAsia" w:ascii="仿宋" w:hAnsi="仿宋" w:eastAsia="仿宋" w:cs="仿宋"/>
          <w:color w:val="auto"/>
          <w:lang w:val="en-US" w:eastAsia="zh-CN"/>
        </w:rPr>
        <w:t>11.6</w:t>
      </w:r>
      <w:r>
        <w:rPr>
          <w:rFonts w:hint="eastAsia" w:ascii="仿宋" w:hAnsi="仿宋" w:eastAsia="仿宋" w:cs="仿宋"/>
          <w:color w:val="auto"/>
        </w:rPr>
        <w:t>分。</w:t>
      </w:r>
    </w:p>
    <w:p>
      <w:pPr>
        <w:rPr>
          <w:rFonts w:hint="eastAsia" w:ascii="仿宋" w:hAnsi="仿宋" w:eastAsia="仿宋" w:cs="仿宋"/>
        </w:rPr>
      </w:pPr>
      <w:bookmarkStart w:id="145" w:name="_Toc21607"/>
      <w:bookmarkStart w:id="146" w:name="_Toc7420"/>
      <w:r>
        <w:rPr>
          <w:rFonts w:hint="eastAsia" w:ascii="仿宋" w:hAnsi="仿宋" w:eastAsia="仿宋" w:cs="仿宋"/>
          <w:b/>
          <w:bCs/>
          <w:color w:val="auto"/>
        </w:rPr>
        <w:t>2.产</w:t>
      </w:r>
      <w:r>
        <w:rPr>
          <w:rFonts w:hint="eastAsia" w:ascii="仿宋" w:hAnsi="仿宋" w:eastAsia="仿宋" w:cs="仿宋"/>
        </w:rPr>
        <w:t>出质量</w:t>
      </w:r>
      <w:bookmarkEnd w:id="145"/>
      <w:bookmarkEnd w:id="146"/>
    </w:p>
    <w:p>
      <w:pPr>
        <w:rPr>
          <w:rFonts w:hint="eastAsia" w:ascii="仿宋" w:hAnsi="仿宋" w:eastAsia="仿宋" w:cs="仿宋"/>
          <w:lang w:val="en-US" w:eastAsia="zh-CN"/>
        </w:rPr>
      </w:pPr>
      <w:r>
        <w:rPr>
          <w:rFonts w:hint="eastAsia" w:ascii="仿宋" w:hAnsi="仿宋" w:eastAsia="仿宋" w:cs="仿宋"/>
          <w:lang w:val="en-US" w:eastAsia="zh-CN"/>
        </w:rPr>
        <w:t>指标1：项目验收合格率</w:t>
      </w:r>
      <w:r>
        <w:rPr>
          <w:rFonts w:hint="eastAsia" w:ascii="仿宋" w:hAnsi="仿宋" w:eastAsia="仿宋" w:cs="仿宋"/>
        </w:rPr>
        <w:t>，预期指标值</w:t>
      </w:r>
      <w:r>
        <w:rPr>
          <w:rFonts w:hint="eastAsia" w:ascii="仿宋" w:hAnsi="仿宋" w:eastAsia="仿宋" w:cs="仿宋"/>
          <w:lang w:val="en-US" w:eastAsia="zh-CN"/>
        </w:rPr>
        <w:t>大于或等于90%</w:t>
      </w:r>
      <w:r>
        <w:rPr>
          <w:rFonts w:hint="eastAsia" w:ascii="仿宋" w:hAnsi="仿宋" w:eastAsia="仿宋" w:cs="仿宋"/>
        </w:rPr>
        <w:t>，指标完成值：</w:t>
      </w:r>
      <w:r>
        <w:rPr>
          <w:rFonts w:hint="eastAsia" w:ascii="仿宋" w:hAnsi="仿宋" w:eastAsia="仿宋" w:cs="仿宋"/>
          <w:lang w:val="en-US" w:eastAsia="zh-CN"/>
        </w:rPr>
        <w:t>0%</w:t>
      </w:r>
      <w:r>
        <w:rPr>
          <w:rFonts w:hint="eastAsia" w:ascii="仿宋" w:hAnsi="仿宋" w:eastAsia="仿宋" w:cs="仿宋"/>
        </w:rPr>
        <w:t>，完成率：</w:t>
      </w:r>
      <w:r>
        <w:rPr>
          <w:rFonts w:hint="eastAsia" w:ascii="仿宋" w:hAnsi="仿宋" w:eastAsia="仿宋" w:cs="仿宋"/>
          <w:lang w:val="en-US" w:eastAsia="zh-CN"/>
        </w:rPr>
        <w:t>0%</w:t>
      </w:r>
      <w:r>
        <w:rPr>
          <w:rFonts w:hint="eastAsia" w:ascii="仿宋" w:hAnsi="仿宋" w:eastAsia="仿宋" w:cs="仿宋"/>
        </w:rPr>
        <w:t>；</w:t>
      </w:r>
      <w:r>
        <w:rPr>
          <w:rFonts w:hint="eastAsia" w:ascii="仿宋" w:hAnsi="仿宋" w:eastAsia="仿宋" w:cs="仿宋"/>
          <w:lang w:val="en-US" w:eastAsia="zh-CN"/>
        </w:rPr>
        <w:t>原因：本项目截至2024年底项目未完工，因此未达到验收环节。</w:t>
      </w:r>
    </w:p>
    <w:p>
      <w:pPr>
        <w:rPr>
          <w:rFonts w:hint="eastAsia" w:ascii="仿宋" w:hAnsi="仿宋" w:eastAsia="仿宋" w:cs="仿宋"/>
        </w:rPr>
      </w:pPr>
      <w:r>
        <w:rPr>
          <w:rFonts w:hint="eastAsia" w:ascii="仿宋" w:hAnsi="仿宋" w:eastAsia="仿宋" w:cs="仿宋"/>
        </w:rPr>
        <w:t>本项满分</w:t>
      </w:r>
      <w:r>
        <w:rPr>
          <w:rFonts w:hint="eastAsia" w:ascii="仿宋" w:hAnsi="仿宋" w:eastAsia="仿宋" w:cs="仿宋"/>
          <w:lang w:val="en-US" w:eastAsia="zh-CN"/>
        </w:rPr>
        <w:t>4</w:t>
      </w:r>
      <w:r>
        <w:rPr>
          <w:rFonts w:hint="eastAsia" w:ascii="仿宋" w:hAnsi="仿宋" w:eastAsia="仿宋" w:cs="仿宋"/>
        </w:rPr>
        <w:t>分，评估得分</w:t>
      </w:r>
      <w:r>
        <w:rPr>
          <w:rFonts w:hint="eastAsia" w:ascii="仿宋" w:hAnsi="仿宋" w:eastAsia="仿宋" w:cs="仿宋"/>
          <w:lang w:val="en-US" w:eastAsia="zh-CN"/>
        </w:rPr>
        <w:t>0</w:t>
      </w:r>
      <w:r>
        <w:rPr>
          <w:rFonts w:hint="eastAsia" w:ascii="仿宋" w:hAnsi="仿宋" w:eastAsia="仿宋" w:cs="仿宋"/>
        </w:rPr>
        <w:t>分。</w:t>
      </w:r>
    </w:p>
    <w:p>
      <w:pPr>
        <w:bidi w:val="0"/>
        <w:jc w:val="both"/>
        <w:rPr>
          <w:rFonts w:hint="eastAsia" w:ascii="仿宋" w:hAnsi="仿宋" w:eastAsia="仿宋" w:cs="仿宋"/>
          <w:b/>
          <w:bCs/>
          <w:color w:val="auto"/>
        </w:rPr>
      </w:pPr>
      <w:bookmarkStart w:id="147" w:name="_Toc6277"/>
      <w:bookmarkStart w:id="148" w:name="_Toc5394"/>
      <w:r>
        <w:rPr>
          <w:rFonts w:hint="eastAsia" w:ascii="仿宋" w:hAnsi="仿宋" w:eastAsia="仿宋" w:cs="仿宋"/>
          <w:b/>
          <w:bCs/>
          <w:color w:val="auto"/>
        </w:rPr>
        <w:t>3.产出时效</w:t>
      </w:r>
      <w:bookmarkEnd w:id="147"/>
      <w:bookmarkEnd w:id="148"/>
    </w:p>
    <w:p>
      <w:pPr>
        <w:bidi w:val="0"/>
        <w:jc w:val="both"/>
        <w:rPr>
          <w:rFonts w:hint="eastAsia" w:ascii="仿宋" w:hAnsi="仿宋" w:eastAsia="仿宋" w:cs="仿宋"/>
          <w:color w:val="auto"/>
        </w:rPr>
      </w:pPr>
      <w:r>
        <w:rPr>
          <w:rFonts w:hint="eastAsia" w:ascii="仿宋" w:hAnsi="仿宋" w:eastAsia="仿宋" w:cs="仿宋"/>
          <w:b w:val="0"/>
          <w:bCs/>
          <w:color w:val="auto"/>
          <w:kern w:val="2"/>
          <w:sz w:val="32"/>
          <w:szCs w:val="32"/>
          <w:highlight w:val="none"/>
          <w:lang w:val="en-US" w:eastAsia="zh-CN" w:bidi="ar-SA"/>
        </w:rPr>
        <w:t>指标1：</w:t>
      </w:r>
      <w:r>
        <w:rPr>
          <w:rFonts w:hint="eastAsia" w:ascii="仿宋" w:hAnsi="仿宋" w:eastAsia="仿宋" w:cs="仿宋"/>
          <w:color w:val="auto"/>
          <w:lang w:val="en-US" w:eastAsia="zh-CN"/>
        </w:rPr>
        <w:t>项目计划开工时间</w:t>
      </w:r>
      <w:r>
        <w:rPr>
          <w:rFonts w:hint="eastAsia" w:ascii="仿宋" w:hAnsi="仿宋" w:eastAsia="仿宋" w:cs="仿宋"/>
          <w:color w:val="auto"/>
        </w:rPr>
        <w:t>，预期指标值</w:t>
      </w:r>
      <w:r>
        <w:rPr>
          <w:rFonts w:hint="eastAsia" w:ascii="仿宋" w:hAnsi="仿宋" w:eastAsia="仿宋" w:cs="仿宋"/>
          <w:color w:val="auto"/>
          <w:lang w:val="en-US" w:eastAsia="zh-CN"/>
        </w:rPr>
        <w:t>2024年11月10日</w:t>
      </w:r>
      <w:r>
        <w:rPr>
          <w:rFonts w:hint="eastAsia" w:ascii="仿宋" w:hAnsi="仿宋" w:eastAsia="仿宋" w:cs="仿宋"/>
          <w:color w:val="auto"/>
        </w:rPr>
        <w:t>，指标完成值：</w:t>
      </w:r>
      <w:r>
        <w:rPr>
          <w:rFonts w:hint="eastAsia" w:ascii="仿宋" w:hAnsi="仿宋" w:eastAsia="仿宋" w:cs="仿宋"/>
          <w:color w:val="auto"/>
          <w:lang w:val="en-US" w:eastAsia="zh-CN"/>
        </w:rPr>
        <w:t>2024年11月10日</w:t>
      </w:r>
      <w:r>
        <w:rPr>
          <w:rFonts w:hint="eastAsia" w:ascii="仿宋" w:hAnsi="仿宋" w:eastAsia="仿宋" w:cs="仿宋"/>
          <w:color w:val="auto"/>
        </w:rPr>
        <w:t>，完成率：</w:t>
      </w:r>
      <w:r>
        <w:rPr>
          <w:rFonts w:hint="eastAsia" w:ascii="仿宋" w:hAnsi="仿宋" w:eastAsia="仿宋" w:cs="仿宋"/>
          <w:color w:val="auto"/>
          <w:lang w:val="en-US" w:eastAsia="zh-CN"/>
        </w:rPr>
        <w:t>100%</w:t>
      </w:r>
      <w:r>
        <w:rPr>
          <w:rFonts w:hint="eastAsia" w:ascii="仿宋" w:hAnsi="仿宋" w:eastAsia="仿宋" w:cs="仿宋"/>
          <w:color w:val="auto"/>
        </w:rPr>
        <w:t>；</w:t>
      </w:r>
    </w:p>
    <w:p>
      <w:pPr>
        <w:bidi w:val="0"/>
        <w:jc w:val="both"/>
        <w:rPr>
          <w:rFonts w:hint="eastAsia" w:ascii="仿宋" w:hAnsi="仿宋" w:eastAsia="仿宋" w:cs="仿宋"/>
          <w:color w:val="auto"/>
        </w:rPr>
      </w:pPr>
      <w:r>
        <w:rPr>
          <w:rFonts w:hint="eastAsia" w:ascii="仿宋" w:hAnsi="仿宋" w:eastAsia="仿宋" w:cs="仿宋"/>
          <w:b w:val="0"/>
          <w:bCs/>
          <w:color w:val="auto"/>
          <w:kern w:val="2"/>
          <w:sz w:val="32"/>
          <w:szCs w:val="32"/>
          <w:highlight w:val="none"/>
          <w:lang w:val="en-US" w:eastAsia="zh-CN" w:bidi="ar-SA"/>
        </w:rPr>
        <w:t>指标2：</w:t>
      </w:r>
      <w:r>
        <w:rPr>
          <w:rFonts w:hint="eastAsia" w:ascii="仿宋" w:hAnsi="仿宋" w:eastAsia="仿宋" w:cs="仿宋"/>
          <w:color w:val="auto"/>
          <w:lang w:val="en-US" w:eastAsia="zh-CN"/>
        </w:rPr>
        <w:t>项目计划完工时间</w:t>
      </w:r>
      <w:r>
        <w:rPr>
          <w:rFonts w:hint="eastAsia" w:ascii="仿宋" w:hAnsi="仿宋" w:eastAsia="仿宋" w:cs="仿宋"/>
          <w:color w:val="auto"/>
        </w:rPr>
        <w:t>，预期指标值</w:t>
      </w:r>
      <w:r>
        <w:rPr>
          <w:rFonts w:hint="eastAsia" w:ascii="仿宋" w:hAnsi="仿宋" w:eastAsia="仿宋" w:cs="仿宋"/>
          <w:color w:val="auto"/>
          <w:lang w:val="en-US" w:eastAsia="zh-CN"/>
        </w:rPr>
        <w:t>2025年1月16日</w:t>
      </w:r>
      <w:r>
        <w:rPr>
          <w:rFonts w:hint="eastAsia" w:ascii="仿宋" w:hAnsi="仿宋" w:eastAsia="仿宋" w:cs="仿宋"/>
          <w:color w:val="auto"/>
        </w:rPr>
        <w:t>，指标完成值：</w:t>
      </w:r>
      <w:r>
        <w:rPr>
          <w:rFonts w:hint="eastAsia" w:ascii="仿宋" w:hAnsi="仿宋" w:eastAsia="仿宋" w:cs="仿宋"/>
          <w:color w:val="auto"/>
          <w:lang w:val="en-US" w:eastAsia="zh-CN"/>
        </w:rPr>
        <w:t>2025年1月16日</w:t>
      </w:r>
      <w:r>
        <w:rPr>
          <w:rFonts w:hint="eastAsia" w:ascii="仿宋" w:hAnsi="仿宋" w:eastAsia="仿宋" w:cs="仿宋"/>
          <w:color w:val="auto"/>
        </w:rPr>
        <w:t>，完成率：</w:t>
      </w:r>
      <w:r>
        <w:rPr>
          <w:rFonts w:hint="eastAsia" w:ascii="仿宋" w:hAnsi="仿宋" w:eastAsia="仿宋" w:cs="仿宋"/>
          <w:color w:val="auto"/>
          <w:lang w:val="en-US" w:eastAsia="zh-CN"/>
        </w:rPr>
        <w:t>100%</w:t>
      </w:r>
      <w:r>
        <w:rPr>
          <w:rFonts w:hint="eastAsia" w:ascii="仿宋" w:hAnsi="仿宋" w:eastAsia="仿宋" w:cs="仿宋"/>
          <w:color w:val="auto"/>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本项满分12分，评估得分</w:t>
      </w:r>
      <w:r>
        <w:rPr>
          <w:rFonts w:hint="eastAsia" w:ascii="仿宋" w:hAnsi="仿宋" w:eastAsia="仿宋" w:cs="仿宋"/>
          <w:color w:val="auto"/>
          <w:highlight w:val="none"/>
          <w:lang w:val="en-US" w:eastAsia="zh-CN"/>
        </w:rPr>
        <w:t>12</w:t>
      </w:r>
      <w:r>
        <w:rPr>
          <w:rFonts w:hint="eastAsia" w:ascii="仿宋" w:hAnsi="仿宋" w:eastAsia="仿宋" w:cs="仿宋"/>
          <w:color w:val="auto"/>
          <w:highlight w:val="none"/>
        </w:rPr>
        <w:t>分。</w:t>
      </w:r>
    </w:p>
    <w:p>
      <w:pPr>
        <w:bidi w:val="0"/>
        <w:jc w:val="both"/>
        <w:rPr>
          <w:rFonts w:hint="eastAsia" w:ascii="仿宋" w:hAnsi="仿宋" w:eastAsia="仿宋" w:cs="仿宋"/>
          <w:b/>
          <w:bCs/>
          <w:color w:val="auto"/>
        </w:rPr>
      </w:pPr>
      <w:bookmarkStart w:id="149" w:name="_Toc28975"/>
      <w:bookmarkStart w:id="150" w:name="_Toc18558"/>
      <w:r>
        <w:rPr>
          <w:rFonts w:hint="eastAsia" w:ascii="仿宋" w:hAnsi="仿宋" w:eastAsia="仿宋" w:cs="仿宋"/>
          <w:b/>
          <w:bCs/>
          <w:color w:val="auto"/>
        </w:rPr>
        <w:t>4.产出成本</w:t>
      </w:r>
      <w:bookmarkEnd w:id="149"/>
      <w:bookmarkEnd w:id="150"/>
    </w:p>
    <w:p>
      <w:pPr>
        <w:bidi w:val="0"/>
        <w:jc w:val="both"/>
        <w:rPr>
          <w:rFonts w:hint="eastAsia" w:ascii="仿宋" w:hAnsi="仿宋" w:eastAsia="仿宋" w:cs="仿宋"/>
          <w:color w:val="auto"/>
          <w:lang w:val="en-US" w:eastAsia="zh-CN"/>
        </w:rPr>
      </w:pPr>
      <w:r>
        <w:rPr>
          <w:rFonts w:hint="eastAsia" w:ascii="仿宋" w:hAnsi="仿宋" w:eastAsia="仿宋" w:cs="仿宋"/>
          <w:b w:val="0"/>
          <w:bCs/>
          <w:color w:val="auto"/>
          <w:kern w:val="2"/>
          <w:sz w:val="32"/>
          <w:szCs w:val="32"/>
          <w:highlight w:val="none"/>
          <w:lang w:val="en-US" w:eastAsia="zh-CN" w:bidi="ar-SA"/>
        </w:rPr>
        <w:t>指标1：</w:t>
      </w:r>
      <w:r>
        <w:rPr>
          <w:rFonts w:hint="eastAsia" w:ascii="仿宋" w:hAnsi="仿宋" w:eastAsia="仿宋" w:cs="仿宋"/>
          <w:color w:val="auto"/>
          <w:lang w:val="en-US" w:eastAsia="zh-CN"/>
        </w:rPr>
        <w:t>木栈道经费支出</w:t>
      </w:r>
      <w:r>
        <w:rPr>
          <w:rFonts w:hint="eastAsia" w:ascii="仿宋" w:hAnsi="仿宋" w:eastAsia="仿宋" w:cs="仿宋"/>
          <w:color w:val="auto"/>
        </w:rPr>
        <w:t>，预期指标值</w:t>
      </w:r>
      <w:r>
        <w:rPr>
          <w:rFonts w:hint="eastAsia" w:ascii="仿宋" w:hAnsi="仿宋" w:eastAsia="仿宋" w:cs="仿宋"/>
          <w:color w:val="auto"/>
          <w:lang w:val="en-US" w:eastAsia="zh-CN"/>
        </w:rPr>
        <w:t>小于或等于460万元</w:t>
      </w:r>
      <w:r>
        <w:rPr>
          <w:rFonts w:hint="eastAsia" w:ascii="仿宋" w:hAnsi="仿宋" w:eastAsia="仿宋" w:cs="仿宋"/>
          <w:color w:val="auto"/>
        </w:rPr>
        <w:t>，指标完成值：</w:t>
      </w:r>
      <w:r>
        <w:rPr>
          <w:rFonts w:hint="eastAsia" w:ascii="仿宋" w:hAnsi="仿宋" w:eastAsia="仿宋" w:cs="仿宋"/>
          <w:color w:val="auto"/>
          <w:lang w:val="en-US" w:eastAsia="zh-CN"/>
        </w:rPr>
        <w:t>460万元</w:t>
      </w:r>
      <w:r>
        <w:rPr>
          <w:rFonts w:hint="eastAsia" w:ascii="仿宋" w:hAnsi="仿宋" w:eastAsia="仿宋" w:cs="仿宋"/>
          <w:color w:val="auto"/>
        </w:rPr>
        <w:t>，完成率：</w:t>
      </w:r>
      <w:r>
        <w:rPr>
          <w:rFonts w:hint="eastAsia" w:ascii="仿宋" w:hAnsi="仿宋" w:eastAsia="仿宋" w:cs="仿宋"/>
          <w:color w:val="auto"/>
          <w:lang w:val="en-US" w:eastAsia="zh-CN"/>
        </w:rPr>
        <w:t>100%</w:t>
      </w:r>
      <w:r>
        <w:rPr>
          <w:rFonts w:hint="eastAsia" w:ascii="仿宋" w:hAnsi="仿宋" w:eastAsia="仿宋" w:cs="仿宋"/>
          <w:color w:val="auto"/>
        </w:rPr>
        <w:t>；</w:t>
      </w:r>
      <w:r>
        <w:rPr>
          <w:rFonts w:hint="eastAsia" w:ascii="仿宋" w:hAnsi="仿宋" w:eastAsia="仿宋" w:cs="仿宋"/>
          <w:color w:val="auto"/>
          <w:lang w:val="en-US" w:eastAsia="zh-CN"/>
        </w:rPr>
        <w:tab/>
      </w:r>
    </w:p>
    <w:p>
      <w:pPr>
        <w:bidi w:val="0"/>
        <w:rPr>
          <w:rFonts w:hint="eastAsia" w:ascii="仿宋" w:hAnsi="仿宋" w:eastAsia="仿宋" w:cs="仿宋"/>
          <w:lang w:val="en-US" w:eastAsia="zh-CN"/>
        </w:rPr>
      </w:pPr>
      <w:r>
        <w:rPr>
          <w:rFonts w:hint="eastAsia" w:ascii="仿宋" w:hAnsi="仿宋" w:eastAsia="仿宋" w:cs="仿宋"/>
          <w:lang w:val="en-US" w:eastAsia="zh-CN"/>
        </w:rPr>
        <w:t>指标2：智能化系统经费支出，预期指标值小于或等于200万元，指标完成值：200万元，完成率：100%；</w:t>
      </w:r>
    </w:p>
    <w:p>
      <w:pPr>
        <w:bidi w:val="0"/>
        <w:rPr>
          <w:rFonts w:hint="eastAsia" w:ascii="仿宋" w:hAnsi="仿宋" w:eastAsia="仿宋" w:cs="仿宋"/>
          <w:lang w:val="en-US" w:eastAsia="zh-CN"/>
        </w:rPr>
      </w:pPr>
      <w:r>
        <w:rPr>
          <w:rFonts w:hint="eastAsia" w:ascii="仿宋" w:hAnsi="仿宋" w:eastAsia="仿宋" w:cs="仿宋"/>
          <w:lang w:val="en-US" w:eastAsia="zh-CN"/>
        </w:rPr>
        <w:t>指标3：暂列金经费，预期指标值小于或等于106万元，指标完成值：106万元，完成率：100%；</w:t>
      </w:r>
    </w:p>
    <w:p>
      <w:pPr>
        <w:rPr>
          <w:rFonts w:hint="eastAsia" w:ascii="仿宋" w:hAnsi="仿宋" w:eastAsia="仿宋" w:cs="仿宋"/>
          <w:lang w:val="en-US" w:eastAsia="zh-CN"/>
        </w:rPr>
      </w:pPr>
      <w:r>
        <w:rPr>
          <w:rFonts w:hint="eastAsia" w:ascii="仿宋" w:hAnsi="仿宋" w:eastAsia="仿宋" w:cs="仿宋"/>
          <w:b w:val="0"/>
          <w:bCs/>
          <w:color w:val="auto"/>
          <w:kern w:val="2"/>
          <w:sz w:val="32"/>
          <w:szCs w:val="32"/>
          <w:highlight w:val="none"/>
          <w:lang w:val="en-US" w:eastAsia="zh-CN" w:bidi="ar-SA"/>
        </w:rPr>
        <w:t>指标4：2个驿站经费支出，预期指标值小于或等于140万元，指标完成值：112.08万元，完成率：</w:t>
      </w:r>
      <w:r>
        <w:rPr>
          <w:rFonts w:hint="eastAsia" w:ascii="仿宋" w:hAnsi="仿宋" w:eastAsia="仿宋" w:cs="仿宋"/>
          <w:lang w:val="en-US" w:eastAsia="zh-CN"/>
        </w:rPr>
        <w:t>80.06%；原因：截止2024年底，项目尚未完结，资金未支付完毕。</w:t>
      </w:r>
    </w:p>
    <w:p>
      <w:pPr>
        <w:rPr>
          <w:rFonts w:hint="eastAsia" w:ascii="仿宋" w:hAnsi="仿宋" w:eastAsia="仿宋" w:cs="仿宋"/>
        </w:rPr>
      </w:pPr>
      <w:r>
        <w:rPr>
          <w:rFonts w:hint="eastAsia" w:ascii="仿宋" w:hAnsi="仿宋" w:eastAsia="仿宋" w:cs="仿宋"/>
        </w:rPr>
        <w:t>本项满分</w:t>
      </w:r>
      <w:r>
        <w:rPr>
          <w:rFonts w:hint="eastAsia" w:ascii="仿宋" w:hAnsi="仿宋" w:eastAsia="仿宋" w:cs="仿宋"/>
          <w:lang w:val="en-US" w:eastAsia="zh-CN"/>
        </w:rPr>
        <w:t>12</w:t>
      </w:r>
      <w:r>
        <w:rPr>
          <w:rFonts w:hint="eastAsia" w:ascii="仿宋" w:hAnsi="仿宋" w:eastAsia="仿宋" w:cs="仿宋"/>
        </w:rPr>
        <w:t>分，评估得分</w:t>
      </w:r>
      <w:r>
        <w:rPr>
          <w:rFonts w:hint="eastAsia" w:ascii="仿宋" w:hAnsi="仿宋" w:eastAsia="仿宋" w:cs="仿宋"/>
          <w:lang w:val="en-US" w:eastAsia="zh-CN"/>
        </w:rPr>
        <w:t>11.4</w:t>
      </w:r>
      <w:r>
        <w:rPr>
          <w:rFonts w:hint="eastAsia" w:ascii="仿宋" w:hAnsi="仿宋" w:eastAsia="仿宋" w:cs="仿宋"/>
        </w:rPr>
        <w:t>分。</w:t>
      </w:r>
    </w:p>
    <w:p>
      <w:pPr>
        <w:pStyle w:val="4"/>
        <w:bidi w:val="0"/>
        <w:jc w:val="both"/>
        <w:outlineLvl w:val="1"/>
        <w:rPr>
          <w:rFonts w:hint="eastAsia" w:ascii="仿宋" w:hAnsi="仿宋" w:eastAsia="仿宋" w:cs="仿宋"/>
          <w:color w:val="auto"/>
        </w:rPr>
      </w:pPr>
      <w:bookmarkStart w:id="151" w:name="_Toc18194"/>
      <w:bookmarkStart w:id="152" w:name="_Toc14881"/>
      <w:bookmarkStart w:id="153" w:name="_Toc24492"/>
      <w:bookmarkStart w:id="154" w:name="_Toc27548"/>
      <w:bookmarkStart w:id="155" w:name="_Toc28136"/>
      <w:r>
        <w:rPr>
          <w:rFonts w:hint="eastAsia" w:ascii="仿宋" w:hAnsi="仿宋" w:eastAsia="仿宋" w:cs="仿宋"/>
          <w:color w:val="auto"/>
        </w:rPr>
        <w:t>（四）项目效益情况</w:t>
      </w:r>
      <w:bookmarkEnd w:id="151"/>
      <w:bookmarkEnd w:id="152"/>
      <w:bookmarkEnd w:id="153"/>
      <w:bookmarkEnd w:id="154"/>
      <w:bookmarkEnd w:id="155"/>
    </w:p>
    <w:p>
      <w:pPr>
        <w:bidi w:val="0"/>
        <w:jc w:val="both"/>
        <w:rPr>
          <w:rFonts w:hint="eastAsia" w:ascii="仿宋" w:hAnsi="仿宋" w:eastAsia="仿宋" w:cs="仿宋"/>
          <w:b/>
          <w:bCs/>
          <w:color w:val="auto"/>
        </w:rPr>
      </w:pPr>
      <w:bookmarkStart w:id="156" w:name="_Toc8370"/>
      <w:bookmarkStart w:id="157" w:name="_Toc15599"/>
      <w:r>
        <w:rPr>
          <w:rFonts w:hint="eastAsia" w:ascii="仿宋" w:hAnsi="仿宋" w:eastAsia="仿宋" w:cs="仿宋"/>
          <w:b/>
          <w:bCs/>
          <w:color w:val="auto"/>
        </w:rPr>
        <w:t>1.实施效益</w:t>
      </w:r>
      <w:bookmarkEnd w:id="156"/>
      <w:bookmarkEnd w:id="157"/>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rPr>
        <w:t>本项目实施所产生的效益主要包括</w:t>
      </w:r>
      <w:r>
        <w:rPr>
          <w:rFonts w:hint="eastAsia" w:ascii="仿宋" w:hAnsi="仿宋" w:eastAsia="仿宋" w:cs="仿宋"/>
          <w:color w:val="auto"/>
          <w:highlight w:val="none"/>
        </w:rPr>
        <w:t>社会效益、经济效益和生态效益。</w:t>
      </w:r>
      <w:r>
        <w:rPr>
          <w:rFonts w:hint="eastAsia" w:ascii="仿宋" w:hAnsi="仿宋" w:eastAsia="仿宋" w:cs="仿宋"/>
          <w:bCs/>
          <w:color w:val="auto"/>
          <w:sz w:val="32"/>
          <w:szCs w:val="32"/>
          <w:highlight w:val="none"/>
          <w:lang w:val="en-US" w:eastAsia="zh-CN"/>
        </w:rPr>
        <w:t>罗布人村寨旅游景区的基础设施建设显著提升了尉犁县社会效益。完善的交通、住宿、餐饮等设施不仅改善了居民生活条件，还创造了大量就业机会，带动了经济发展。同时，旅游设施的提升吸引了更多游客，促进了文化交流与传承，增强了社区凝聚力，推动了区域可持续发展。</w:t>
      </w:r>
    </w:p>
    <w:p>
      <w:pPr>
        <w:bidi w:val="0"/>
        <w:jc w:val="both"/>
        <w:rPr>
          <w:rFonts w:hint="eastAsia" w:ascii="仿宋" w:hAnsi="仿宋" w:eastAsia="仿宋" w:cs="仿宋"/>
          <w:color w:val="auto"/>
        </w:rPr>
      </w:pPr>
      <w:r>
        <w:rPr>
          <w:rFonts w:hint="eastAsia" w:ascii="仿宋" w:hAnsi="仿宋" w:eastAsia="仿宋" w:cs="仿宋"/>
          <w:color w:val="auto"/>
        </w:rPr>
        <w:t>本项满分10分，评估得分10分。</w:t>
      </w:r>
    </w:p>
    <w:p>
      <w:pPr>
        <w:bidi w:val="0"/>
        <w:jc w:val="both"/>
        <w:rPr>
          <w:rFonts w:hint="eastAsia" w:ascii="仿宋" w:hAnsi="仿宋" w:eastAsia="仿宋" w:cs="仿宋"/>
          <w:b/>
          <w:bCs/>
          <w:color w:val="auto"/>
        </w:rPr>
      </w:pPr>
      <w:bookmarkStart w:id="158" w:name="_Toc20772"/>
      <w:bookmarkStart w:id="159" w:name="_Toc31503"/>
      <w:r>
        <w:rPr>
          <w:rFonts w:hint="eastAsia" w:ascii="仿宋" w:hAnsi="仿宋" w:eastAsia="仿宋" w:cs="仿宋"/>
          <w:b/>
          <w:bCs/>
          <w:color w:val="auto"/>
        </w:rPr>
        <w:t>2.满意度</w:t>
      </w:r>
      <w:bookmarkEnd w:id="158"/>
      <w:bookmarkEnd w:id="159"/>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rPr>
        <w:t>本项目服务对象和受益群众主要是</w:t>
      </w:r>
      <w:r>
        <w:rPr>
          <w:rFonts w:hint="eastAsia" w:ascii="仿宋" w:hAnsi="仿宋" w:eastAsia="仿宋" w:cs="仿宋"/>
          <w:color w:val="auto"/>
          <w:lang w:val="en-US" w:eastAsia="zh-CN"/>
        </w:rPr>
        <w:t>罗布人村寨旅游景区旅游的游客</w:t>
      </w:r>
      <w:r>
        <w:rPr>
          <w:rFonts w:hint="eastAsia" w:ascii="仿宋" w:hAnsi="仿宋" w:eastAsia="仿宋" w:cs="仿宋"/>
          <w:color w:val="auto"/>
        </w:rPr>
        <w:t>，通过问卷调查方式收集服务对象和受益群众对本</w:t>
      </w:r>
      <w:r>
        <w:rPr>
          <w:rFonts w:hint="eastAsia" w:ascii="仿宋" w:hAnsi="仿宋" w:eastAsia="仿宋" w:cs="仿宋"/>
          <w:color w:val="auto"/>
          <w:highlight w:val="none"/>
        </w:rPr>
        <w:t>项目实施的满意度。调查人群都表示很满意，都认为本项目实施后，</w:t>
      </w:r>
      <w:r>
        <w:rPr>
          <w:rFonts w:hint="eastAsia" w:ascii="仿宋" w:hAnsi="仿宋" w:eastAsia="仿宋" w:cs="仿宋"/>
          <w:color w:val="auto"/>
          <w:highlight w:val="none"/>
          <w:lang w:val="en-US" w:eastAsia="zh-CN"/>
        </w:rPr>
        <w:t>提升了游客的体验观感。</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本项满分10分，评估得分10分。</w:t>
      </w:r>
    </w:p>
    <w:p>
      <w:pPr>
        <w:pStyle w:val="3"/>
        <w:bidi w:val="0"/>
        <w:jc w:val="both"/>
        <w:outlineLvl w:val="0"/>
        <w:rPr>
          <w:rFonts w:hint="eastAsia" w:ascii="仿宋" w:hAnsi="仿宋" w:eastAsia="仿宋" w:cs="仿宋"/>
          <w:color w:val="auto"/>
        </w:rPr>
      </w:pPr>
      <w:bookmarkStart w:id="160" w:name="_Toc3310"/>
      <w:bookmarkStart w:id="161" w:name="_Toc17413"/>
      <w:bookmarkStart w:id="162" w:name="_Toc23114"/>
      <w:bookmarkStart w:id="163" w:name="_Toc30253"/>
      <w:bookmarkStart w:id="164" w:name="_Toc24261"/>
      <w:bookmarkStart w:id="165" w:name="_Toc20473"/>
      <w:r>
        <w:rPr>
          <w:rFonts w:hint="eastAsia" w:ascii="仿宋" w:hAnsi="仿宋" w:eastAsia="仿宋" w:cs="仿宋"/>
          <w:color w:val="auto"/>
        </w:rPr>
        <w:t>五、主要经验及做法、存在的问题及原因分析</w:t>
      </w:r>
      <w:bookmarkEnd w:id="160"/>
      <w:bookmarkEnd w:id="161"/>
      <w:bookmarkEnd w:id="162"/>
      <w:bookmarkEnd w:id="163"/>
      <w:bookmarkEnd w:id="164"/>
      <w:bookmarkEnd w:id="165"/>
    </w:p>
    <w:p>
      <w:pPr>
        <w:pStyle w:val="4"/>
        <w:bidi w:val="0"/>
        <w:jc w:val="both"/>
        <w:outlineLvl w:val="1"/>
        <w:rPr>
          <w:rFonts w:hint="eastAsia" w:ascii="仿宋" w:hAnsi="仿宋" w:eastAsia="仿宋" w:cs="仿宋"/>
          <w:color w:val="auto"/>
        </w:rPr>
      </w:pPr>
      <w:bookmarkStart w:id="166" w:name="_Toc10514"/>
      <w:bookmarkStart w:id="167" w:name="_Toc6522"/>
      <w:bookmarkStart w:id="168" w:name="_Toc6741"/>
      <w:bookmarkStart w:id="169" w:name="_Toc14578"/>
      <w:bookmarkStart w:id="170" w:name="_Toc14362"/>
      <w:r>
        <w:rPr>
          <w:rFonts w:hint="eastAsia" w:ascii="仿宋" w:hAnsi="仿宋" w:eastAsia="仿宋" w:cs="仿宋"/>
          <w:color w:val="auto"/>
        </w:rPr>
        <w:t>（一）主要经验及做法</w:t>
      </w:r>
      <w:bookmarkEnd w:id="166"/>
      <w:bookmarkEnd w:id="167"/>
      <w:bookmarkEnd w:id="168"/>
      <w:bookmarkEnd w:id="169"/>
      <w:bookmarkEnd w:id="170"/>
    </w:p>
    <w:p>
      <w:pPr>
        <w:bidi w:val="0"/>
        <w:rPr>
          <w:rFonts w:hint="eastAsia" w:ascii="仿宋" w:hAnsi="仿宋" w:eastAsia="仿宋" w:cs="仿宋"/>
        </w:rPr>
      </w:pPr>
      <w:r>
        <w:rPr>
          <w:rFonts w:hint="eastAsia" w:ascii="仿宋" w:hAnsi="仿宋" w:eastAsia="仿宋" w:cs="仿宋"/>
          <w:color w:val="auto"/>
          <w:szCs w:val="32"/>
        </w:rPr>
        <w:t>为确保项目顺利进行，提前做好项目规划，将所列计划再</w:t>
      </w:r>
      <w:r>
        <w:rPr>
          <w:rFonts w:hint="eastAsia" w:ascii="仿宋" w:hAnsi="仿宋" w:eastAsia="仿宋" w:cs="仿宋"/>
        </w:rPr>
        <w:t>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bidi w:val="0"/>
        <w:rPr>
          <w:rFonts w:hint="eastAsia" w:ascii="仿宋" w:hAnsi="仿宋" w:eastAsia="仿宋" w:cs="仿宋"/>
        </w:rPr>
      </w:pPr>
      <w:bookmarkStart w:id="171" w:name="_Toc22427"/>
      <w:bookmarkStart w:id="172" w:name="_Toc19174"/>
      <w:r>
        <w:rPr>
          <w:rFonts w:hint="eastAsia" w:ascii="仿宋" w:hAnsi="仿宋" w:eastAsia="仿宋" w:cs="仿宋"/>
        </w:rPr>
        <w:t>严格坚持先做事、后验收、再拨付的原则，</w:t>
      </w:r>
      <w:r>
        <w:rPr>
          <w:rFonts w:hint="eastAsia" w:ascii="仿宋" w:hAnsi="仿宋" w:eastAsia="仿宋" w:cs="仿宋"/>
          <w:lang w:eastAsia="zh-CN"/>
        </w:rPr>
        <w:t>杜绝</w:t>
      </w:r>
      <w:r>
        <w:rPr>
          <w:rFonts w:hint="eastAsia" w:ascii="仿宋" w:hAnsi="仿宋" w:eastAsia="仿宋" w:cs="仿宋"/>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bookmarkEnd w:id="171"/>
      <w:bookmarkEnd w:id="172"/>
    </w:p>
    <w:p>
      <w:pPr>
        <w:pStyle w:val="4"/>
        <w:bidi w:val="0"/>
        <w:jc w:val="both"/>
        <w:outlineLvl w:val="1"/>
        <w:rPr>
          <w:rFonts w:hint="eastAsia" w:ascii="仿宋" w:hAnsi="仿宋" w:eastAsia="仿宋" w:cs="仿宋"/>
          <w:color w:val="auto"/>
        </w:rPr>
      </w:pPr>
      <w:bookmarkStart w:id="173" w:name="_Toc6568"/>
      <w:bookmarkStart w:id="174" w:name="_Toc27408"/>
      <w:bookmarkStart w:id="175" w:name="_Toc4673"/>
      <w:bookmarkStart w:id="176" w:name="_Toc6359"/>
      <w:bookmarkStart w:id="177" w:name="_Toc11238"/>
      <w:r>
        <w:rPr>
          <w:rFonts w:hint="eastAsia" w:ascii="仿宋" w:hAnsi="仿宋" w:eastAsia="仿宋" w:cs="仿宋"/>
          <w:color w:val="auto"/>
        </w:rPr>
        <w:t>（二）存在的问题及分析</w:t>
      </w:r>
      <w:bookmarkEnd w:id="173"/>
      <w:bookmarkEnd w:id="174"/>
      <w:bookmarkEnd w:id="175"/>
      <w:bookmarkEnd w:id="176"/>
      <w:bookmarkEnd w:id="177"/>
    </w:p>
    <w:p>
      <w:pPr>
        <w:spacing w:line="560" w:lineRule="exact"/>
        <w:ind w:firstLine="640" w:firstLineChars="200"/>
        <w:rPr>
          <w:rFonts w:hint="eastAsia" w:ascii="仿宋" w:hAnsi="仿宋" w:eastAsia="仿宋" w:cs="仿宋"/>
          <w:color w:val="auto"/>
          <w:sz w:val="32"/>
          <w:szCs w:val="32"/>
          <w:lang w:val="en-US" w:eastAsia="zh-CN"/>
        </w:rPr>
      </w:pPr>
      <w:bookmarkStart w:id="178" w:name="_Toc20116"/>
      <w:bookmarkStart w:id="179" w:name="_Toc22271"/>
      <w:bookmarkStart w:id="180" w:name="_Toc13270"/>
      <w:bookmarkStart w:id="181" w:name="_Toc5702"/>
      <w:bookmarkStart w:id="182" w:name="_Toc13345"/>
      <w:r>
        <w:rPr>
          <w:rFonts w:hint="eastAsia" w:ascii="仿宋" w:hAnsi="仿宋" w:eastAsia="仿宋" w:cs="仿宋"/>
          <w:color w:val="auto"/>
          <w:sz w:val="32"/>
          <w:szCs w:val="32"/>
          <w:lang w:val="en-US" w:eastAsia="zh-CN"/>
        </w:rPr>
        <w:t>1.本项目年初预算资金总额960万元，全年预算数为960万元，全年执行数为878.06，</w:t>
      </w:r>
      <w:r>
        <w:rPr>
          <w:rFonts w:hint="eastAsia" w:ascii="仿宋" w:hAnsi="仿宋" w:eastAsia="仿宋" w:cs="仿宋"/>
          <w:color w:val="auto"/>
          <w:sz w:val="32"/>
          <w:szCs w:val="32"/>
        </w:rPr>
        <w:t>预算执行率为</w:t>
      </w:r>
      <w:r>
        <w:rPr>
          <w:rFonts w:hint="eastAsia" w:ascii="仿宋" w:hAnsi="仿宋" w:eastAsia="仿宋" w:cs="仿宋"/>
          <w:color w:val="auto"/>
          <w:sz w:val="32"/>
          <w:szCs w:val="32"/>
          <w:lang w:val="en-US" w:eastAsia="zh-CN"/>
        </w:rPr>
        <w:t>96.62</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原因：截止2024年底，项目尚未完结，资金未支付完毕。</w:t>
      </w:r>
    </w:p>
    <w:p>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建设驿站数量</w:t>
      </w:r>
      <w:r>
        <w:rPr>
          <w:rFonts w:hint="eastAsia" w:ascii="仿宋" w:hAnsi="仿宋" w:eastAsia="仿宋" w:cs="仿宋"/>
          <w:color w:val="auto"/>
          <w:sz w:val="32"/>
          <w:szCs w:val="32"/>
        </w:rPr>
        <w:t>，预期指标值</w:t>
      </w:r>
      <w:r>
        <w:rPr>
          <w:rFonts w:hint="eastAsia" w:ascii="仿宋" w:hAnsi="仿宋" w:eastAsia="仿宋" w:cs="仿宋"/>
          <w:color w:val="auto"/>
          <w:sz w:val="32"/>
          <w:szCs w:val="32"/>
          <w:lang w:val="en-US" w:eastAsia="zh-CN"/>
        </w:rPr>
        <w:t>等于1个</w:t>
      </w:r>
      <w:r>
        <w:rPr>
          <w:rFonts w:hint="eastAsia" w:ascii="仿宋" w:hAnsi="仿宋" w:eastAsia="仿宋" w:cs="仿宋"/>
          <w:color w:val="auto"/>
          <w:sz w:val="32"/>
          <w:szCs w:val="32"/>
        </w:rPr>
        <w:t>，指标完成值：</w:t>
      </w:r>
      <w:r>
        <w:rPr>
          <w:rFonts w:hint="eastAsia" w:ascii="仿宋" w:hAnsi="仿宋" w:eastAsia="仿宋" w:cs="仿宋"/>
          <w:color w:val="auto"/>
          <w:sz w:val="32"/>
          <w:szCs w:val="32"/>
          <w:lang w:val="en-US" w:eastAsia="zh-CN"/>
        </w:rPr>
        <w:t>2个</w:t>
      </w:r>
      <w:r>
        <w:rPr>
          <w:rFonts w:hint="eastAsia" w:ascii="仿宋" w:hAnsi="仿宋" w:eastAsia="仿宋" w:cs="仿宋"/>
          <w:color w:val="auto"/>
          <w:sz w:val="32"/>
          <w:szCs w:val="32"/>
        </w:rPr>
        <w:t>，完成率：</w:t>
      </w:r>
      <w:r>
        <w:rPr>
          <w:rFonts w:hint="eastAsia" w:ascii="仿宋" w:hAnsi="仿宋" w:eastAsia="仿宋" w:cs="仿宋"/>
          <w:color w:val="auto"/>
          <w:sz w:val="32"/>
          <w:szCs w:val="32"/>
          <w:lang w:val="en-US" w:eastAsia="zh-CN"/>
        </w:rPr>
        <w:t>200%</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原因：绩效目标设置时不准确，实际建设驿站数2个；</w:t>
      </w:r>
    </w:p>
    <w:p>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项目验收合格率</w:t>
      </w:r>
      <w:r>
        <w:rPr>
          <w:rFonts w:hint="eastAsia" w:ascii="仿宋" w:hAnsi="仿宋" w:eastAsia="仿宋" w:cs="仿宋"/>
          <w:color w:val="auto"/>
          <w:sz w:val="32"/>
          <w:szCs w:val="32"/>
        </w:rPr>
        <w:t>，预期指标值</w:t>
      </w:r>
      <w:r>
        <w:rPr>
          <w:rFonts w:hint="eastAsia" w:ascii="仿宋" w:hAnsi="仿宋" w:eastAsia="仿宋" w:cs="仿宋"/>
          <w:color w:val="auto"/>
          <w:sz w:val="32"/>
          <w:szCs w:val="32"/>
          <w:lang w:val="en-US" w:eastAsia="zh-CN"/>
        </w:rPr>
        <w:t>大于或等于90%</w:t>
      </w:r>
      <w:r>
        <w:rPr>
          <w:rFonts w:hint="eastAsia" w:ascii="仿宋" w:hAnsi="仿宋" w:eastAsia="仿宋" w:cs="仿宋"/>
          <w:color w:val="auto"/>
          <w:sz w:val="32"/>
          <w:szCs w:val="32"/>
        </w:rPr>
        <w:t>，指标完成值：</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，完成率：</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原因：本项目截至2024年底项目未完工，因此未达到验收环节。</w:t>
      </w:r>
    </w:p>
    <w:p>
      <w:pPr>
        <w:spacing w:line="560" w:lineRule="exact"/>
        <w:ind w:firstLine="640" w:firstLineChars="200"/>
        <w:rPr>
          <w:rFonts w:hint="eastAsia" w:ascii="仿宋" w:hAnsi="仿宋" w:eastAsia="仿宋" w:cs="仿宋"/>
          <w:color w:val="auto"/>
          <w:sz w:val="32"/>
          <w:szCs w:val="32"/>
          <w:lang w:val="en-US" w:eastAsia="zh-CN"/>
        </w:rPr>
      </w:pPr>
      <w:bookmarkStart w:id="183" w:name="_Toc3453"/>
      <w:r>
        <w:rPr>
          <w:rFonts w:hint="eastAsia" w:ascii="仿宋" w:hAnsi="仿宋" w:eastAsia="仿宋" w:cs="仿宋"/>
          <w:color w:val="auto"/>
          <w:sz w:val="32"/>
          <w:szCs w:val="32"/>
          <w:lang w:val="en-US" w:eastAsia="zh-CN"/>
        </w:rPr>
        <w:t>2.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bookmarkEnd w:id="183"/>
    </w:p>
    <w:p>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3.因轮岗、调动等因素使我单位绩效工作人员流动频繁，造成工作衔接不到位的情况。</w:t>
      </w:r>
    </w:p>
    <w:p>
      <w:pPr>
        <w:bidi w:val="0"/>
        <w:jc w:val="both"/>
        <w:outlineLvl w:val="0"/>
        <w:rPr>
          <w:rFonts w:hint="eastAsia" w:ascii="仿宋" w:hAnsi="仿宋" w:eastAsia="仿宋" w:cs="仿宋"/>
          <w:color w:val="auto"/>
        </w:rPr>
      </w:pPr>
      <w:bookmarkStart w:id="184" w:name="_Toc16536"/>
      <w:r>
        <w:rPr>
          <w:rFonts w:hint="eastAsia" w:ascii="仿宋" w:hAnsi="仿宋" w:eastAsia="仿宋" w:cs="仿宋"/>
          <w:color w:val="auto"/>
        </w:rPr>
        <w:t>六、有关建议</w:t>
      </w:r>
      <w:bookmarkEnd w:id="178"/>
      <w:bookmarkEnd w:id="179"/>
      <w:bookmarkEnd w:id="180"/>
      <w:bookmarkEnd w:id="181"/>
      <w:bookmarkEnd w:id="182"/>
      <w:bookmarkEnd w:id="184"/>
    </w:p>
    <w:p>
      <w:pPr>
        <w:bidi w:val="0"/>
        <w:rPr>
          <w:rFonts w:hint="eastAsia" w:ascii="仿宋" w:hAnsi="仿宋" w:eastAsia="仿宋" w:cs="仿宋"/>
          <w:lang w:val="en-US" w:eastAsia="zh-CN"/>
        </w:rPr>
      </w:pPr>
      <w:bookmarkStart w:id="185" w:name="_Toc12019"/>
      <w:bookmarkStart w:id="186" w:name="_Toc28400"/>
      <w:r>
        <w:rPr>
          <w:rFonts w:hint="eastAsia" w:ascii="仿宋" w:hAnsi="仿宋" w:eastAsia="仿宋" w:cs="仿宋"/>
          <w:lang w:val="en-US" w:eastAsia="zh-CN"/>
        </w:rPr>
        <w:t>1. 对于预算执行率问题，建议进行详细的财务审查，以确保资金的合理使用和分配。同时，应根据项目实际进度调整预算计划，避免资金闲置或不足。针对建设驿站数量超额完成的问题，建议重新评估绩效目标的设置，确保目标的合理性和可实现性。同时，应考虑是否需要调整后续的资源分配和管理策略，以适应实际完成情况。对于项目验收合格率为0%的问题，由于项目尚未完工，建议制定详细的项目进度计划和质量控制措施，确保项目能够顺利进入验收阶段，并达到预期的质量标准。</w:t>
      </w:r>
      <w:bookmarkEnd w:id="185"/>
      <w:bookmarkEnd w:id="186"/>
    </w:p>
    <w:p>
      <w:pPr>
        <w:bidi w:val="0"/>
        <w:rPr>
          <w:rFonts w:hint="eastAsia" w:ascii="仿宋" w:hAnsi="仿宋" w:eastAsia="仿宋" w:cs="仿宋"/>
          <w:lang w:val="en-US" w:eastAsia="zh-CN"/>
        </w:rPr>
      </w:pPr>
      <w:bookmarkStart w:id="187" w:name="_Toc31518"/>
      <w:bookmarkStart w:id="188" w:name="_Toc13335"/>
      <w:r>
        <w:rPr>
          <w:rFonts w:hint="eastAsia" w:ascii="仿宋" w:hAnsi="仿宋" w:eastAsia="仿宋" w:cs="仿宋"/>
          <w:lang w:val="en-US" w:eastAsia="zh-CN"/>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bookmarkEnd w:id="187"/>
      <w:bookmarkEnd w:id="188"/>
    </w:p>
    <w:p>
      <w:pPr>
        <w:bidi w:val="0"/>
        <w:rPr>
          <w:rFonts w:hint="eastAsia" w:ascii="仿宋" w:hAnsi="仿宋" w:eastAsia="仿宋" w:cs="仿宋"/>
          <w:lang w:val="en-US" w:eastAsia="zh-CN"/>
        </w:rPr>
      </w:pPr>
      <w:bookmarkStart w:id="189" w:name="_Toc15953"/>
      <w:bookmarkStart w:id="190" w:name="_Toc20194"/>
      <w:r>
        <w:rPr>
          <w:rFonts w:hint="eastAsia" w:ascii="仿宋" w:hAnsi="仿宋" w:eastAsia="仿宋" w:cs="仿宋"/>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 w:hAnsi="仿宋" w:eastAsia="仿宋" w:cs="仿宋"/>
        </w:rPr>
        <w:t>。</w:t>
      </w:r>
      <w:bookmarkEnd w:id="189"/>
      <w:bookmarkEnd w:id="190"/>
    </w:p>
    <w:p>
      <w:pPr>
        <w:bidi w:val="0"/>
        <w:rPr>
          <w:rFonts w:hint="eastAsia" w:ascii="仿宋" w:hAnsi="仿宋" w:eastAsia="仿宋" w:cs="仿宋"/>
          <w:lang w:val="en-US" w:eastAsia="zh-CN"/>
        </w:rPr>
      </w:pPr>
      <w:bookmarkStart w:id="191" w:name="_Toc17253"/>
      <w:bookmarkStart w:id="192" w:name="_Toc28898"/>
      <w:r>
        <w:rPr>
          <w:rFonts w:hint="eastAsia" w:ascii="仿宋" w:hAnsi="仿宋" w:eastAsia="仿宋" w:cs="仿宋"/>
          <w:lang w:val="en-US" w:eastAsia="zh-CN"/>
        </w:rPr>
        <w:t>4.多进行有关绩效管理工作方面的培训。积极组织第三方开展绩效管理工作培训，进一步夯实业务基础，提高我单位绩效人员水平。</w:t>
      </w:r>
      <w:bookmarkEnd w:id="191"/>
      <w:bookmarkEnd w:id="192"/>
    </w:p>
    <w:p>
      <w:pPr>
        <w:bidi w:val="0"/>
        <w:rPr>
          <w:rFonts w:hint="eastAsia" w:ascii="仿宋" w:hAnsi="仿宋" w:eastAsia="仿宋" w:cs="仿宋"/>
          <w:lang w:val="en-US" w:eastAsia="zh-CN"/>
        </w:rPr>
      </w:pPr>
      <w:bookmarkStart w:id="193" w:name="_Toc14033"/>
      <w:bookmarkStart w:id="194" w:name="_Toc24685"/>
      <w:r>
        <w:rPr>
          <w:rFonts w:hint="eastAsia" w:ascii="仿宋" w:hAnsi="仿宋" w:eastAsia="仿宋" w:cs="仿宋"/>
          <w:lang w:val="en-US" w:eastAsia="zh-CN"/>
        </w:rPr>
        <w:t>5.专门设定对绩效工作人员定职、定岗、定责等相关制度措施，进一步提升我单位绩效管理工作业务水平，扎实做好绩效管理工作。</w:t>
      </w:r>
      <w:bookmarkEnd w:id="193"/>
      <w:bookmarkEnd w:id="194"/>
    </w:p>
    <w:p>
      <w:pPr>
        <w:pStyle w:val="3"/>
        <w:bidi w:val="0"/>
        <w:jc w:val="both"/>
        <w:outlineLvl w:val="0"/>
        <w:rPr>
          <w:rFonts w:hint="eastAsia" w:ascii="仿宋" w:hAnsi="仿宋" w:eastAsia="仿宋" w:cs="仿宋"/>
          <w:bCs/>
          <w:iCs/>
          <w:color w:val="auto"/>
        </w:rPr>
      </w:pPr>
      <w:bookmarkStart w:id="195" w:name="_Toc5794"/>
      <w:bookmarkStart w:id="196" w:name="_Toc12100"/>
      <w:bookmarkStart w:id="197" w:name="_Toc18653"/>
      <w:bookmarkStart w:id="198" w:name="_Toc24871"/>
      <w:bookmarkStart w:id="199" w:name="_Toc21621"/>
      <w:bookmarkStart w:id="200" w:name="_Toc22823"/>
      <w:r>
        <w:rPr>
          <w:rFonts w:hint="eastAsia" w:ascii="仿宋" w:hAnsi="仿宋" w:eastAsia="仿宋" w:cs="仿宋"/>
          <w:bCs/>
          <w:iCs/>
          <w:color w:val="auto"/>
        </w:rPr>
        <w:t>七、其他需要说明的问题</w:t>
      </w:r>
      <w:bookmarkEnd w:id="195"/>
      <w:bookmarkEnd w:id="196"/>
      <w:bookmarkEnd w:id="197"/>
      <w:bookmarkEnd w:id="198"/>
      <w:bookmarkEnd w:id="199"/>
      <w:bookmarkEnd w:id="200"/>
    </w:p>
    <w:p>
      <w:pPr>
        <w:bidi w:val="0"/>
        <w:jc w:val="both"/>
        <w:rPr>
          <w:rFonts w:hint="eastAsia" w:ascii="仿宋" w:hAnsi="仿宋" w:eastAsia="仿宋" w:cs="仿宋"/>
          <w:color w:val="auto"/>
        </w:rPr>
      </w:pPr>
      <w:r>
        <w:rPr>
          <w:rFonts w:hint="eastAsia" w:ascii="仿宋" w:hAnsi="仿宋" w:eastAsia="仿宋" w:cs="仿宋"/>
          <w:color w:val="auto"/>
        </w:rPr>
        <w:t>（一）本项目部分间接产生的效果无法准确在短期内衡量，因此很难认定项目产生的全部效果。通过指标来反映绩效，指标的科学性和全面性需要不断地完善和研究。</w:t>
      </w:r>
    </w:p>
    <w:p>
      <w:pPr>
        <w:bidi w:val="0"/>
        <w:jc w:val="both"/>
        <w:rPr>
          <w:rFonts w:hint="eastAsia" w:ascii="仿宋" w:hAnsi="仿宋" w:eastAsia="仿宋" w:cs="仿宋"/>
          <w:color w:val="auto"/>
        </w:rPr>
      </w:pPr>
      <w:r>
        <w:rPr>
          <w:rFonts w:hint="eastAsia" w:ascii="仿宋" w:hAnsi="仿宋" w:eastAsia="仿宋" w:cs="仿宋"/>
          <w:color w:val="auto"/>
        </w:rPr>
        <w:t>（二）评价结果分别编入政府决算和部门预算，报送本级人民代表大会常务委员会，并依法予以公开。</w:t>
      </w:r>
    </w:p>
    <w:p>
      <w:pPr>
        <w:pStyle w:val="3"/>
        <w:bidi w:val="0"/>
        <w:jc w:val="both"/>
        <w:outlineLvl w:val="0"/>
        <w:rPr>
          <w:rFonts w:hint="eastAsia" w:ascii="仿宋" w:hAnsi="仿宋" w:eastAsia="仿宋" w:cs="仿宋"/>
          <w:bCs/>
          <w:iCs/>
          <w:color w:val="auto"/>
        </w:rPr>
      </w:pPr>
      <w:bookmarkStart w:id="201" w:name="_Toc30245"/>
      <w:bookmarkStart w:id="202" w:name="_Toc841"/>
      <w:bookmarkStart w:id="203" w:name="_Toc28493"/>
      <w:bookmarkStart w:id="204" w:name="_Toc4210"/>
      <w:bookmarkStart w:id="205" w:name="_Toc8619"/>
      <w:r>
        <w:rPr>
          <w:rFonts w:hint="eastAsia" w:ascii="仿宋" w:hAnsi="仿宋" w:eastAsia="仿宋" w:cs="仿宋"/>
          <w:bCs/>
          <w:iCs/>
          <w:color w:val="auto"/>
        </w:rPr>
        <w:t>八、附件</w:t>
      </w:r>
      <w:bookmarkEnd w:id="201"/>
      <w:bookmarkEnd w:id="202"/>
      <w:bookmarkEnd w:id="203"/>
      <w:bookmarkEnd w:id="204"/>
      <w:bookmarkEnd w:id="205"/>
    </w:p>
    <w:p>
      <w:pPr>
        <w:bidi w:val="0"/>
        <w:jc w:val="both"/>
        <w:rPr>
          <w:rFonts w:hint="eastAsia" w:ascii="仿宋" w:hAnsi="仿宋" w:eastAsia="仿宋" w:cs="仿宋"/>
          <w:color w:val="auto"/>
        </w:rPr>
      </w:pPr>
      <w:r>
        <w:rPr>
          <w:rFonts w:hint="eastAsia" w:ascii="仿宋" w:hAnsi="仿宋" w:eastAsia="仿宋" w:cs="仿宋"/>
          <w:color w:val="auto"/>
        </w:rPr>
        <w:t>1、项目支出绩效自评表</w:t>
      </w:r>
    </w:p>
    <w:p>
      <w:pPr>
        <w:bidi w:val="0"/>
        <w:jc w:val="both"/>
        <w:rPr>
          <w:rFonts w:hint="eastAsia" w:ascii="仿宋" w:hAnsi="仿宋" w:eastAsia="仿宋" w:cs="仿宋"/>
          <w:color w:val="auto"/>
        </w:rPr>
      </w:pPr>
      <w:r>
        <w:rPr>
          <w:rFonts w:hint="eastAsia" w:ascii="仿宋" w:hAnsi="仿宋" w:eastAsia="仿宋" w:cs="仿宋"/>
          <w:color w:val="auto"/>
        </w:rPr>
        <w:t>2、项目支出绩效评价指标体系及评分</w:t>
      </w:r>
    </w:p>
    <w:p>
      <w:pPr>
        <w:jc w:val="both"/>
        <w:rPr>
          <w:rFonts w:hint="eastAsia" w:ascii="仿宋" w:hAnsi="仿宋" w:eastAsia="仿宋" w:cs="仿宋"/>
          <w:color w:val="auto"/>
        </w:rPr>
      </w:pPr>
    </w:p>
    <w:p>
      <w:pPr>
        <w:jc w:val="both"/>
        <w:rPr>
          <w:rFonts w:hint="eastAsia" w:ascii="仿宋" w:hAnsi="仿宋" w:eastAsia="仿宋" w:cs="仿宋"/>
          <w:color w:val="auto"/>
        </w:rPr>
      </w:pPr>
    </w:p>
    <w:p>
      <w:pPr>
        <w:jc w:val="both"/>
        <w:rPr>
          <w:rFonts w:hint="eastAsia" w:ascii="仿宋" w:hAnsi="仿宋" w:eastAsia="仿宋" w:cs="仿宋"/>
          <w:color w:val="auto"/>
        </w:rPr>
      </w:pPr>
    </w:p>
    <w:p>
      <w:pPr>
        <w:jc w:val="both"/>
        <w:rPr>
          <w:rFonts w:hint="eastAsia" w:ascii="仿宋" w:hAnsi="仿宋" w:eastAsia="仿宋" w:cs="仿宋"/>
          <w:color w:val="auto"/>
        </w:rPr>
        <w:sectPr>
          <w:footerReference r:id="rId4" w:type="default"/>
          <w:pgSz w:w="11906" w:h="16838"/>
          <w:pgMar w:top="1440" w:right="1800" w:bottom="1440" w:left="1800" w:header="851" w:footer="992" w:gutter="0"/>
          <w:pgNumType w:fmt="decimal" w:start="1"/>
          <w:cols w:space="720" w:num="1"/>
          <w:docGrid w:type="lines" w:linePitch="312" w:charSpace="0"/>
        </w:sectPr>
      </w:pPr>
    </w:p>
    <w:p>
      <w:pPr>
        <w:pStyle w:val="3"/>
        <w:bidi w:val="0"/>
        <w:jc w:val="both"/>
        <w:outlineLvl w:val="0"/>
        <w:rPr>
          <w:rFonts w:hint="eastAsia" w:ascii="仿宋" w:hAnsi="仿宋" w:eastAsia="仿宋" w:cs="仿宋"/>
          <w:bCs/>
          <w:iCs/>
          <w:color w:val="auto"/>
        </w:rPr>
      </w:pPr>
      <w:bookmarkStart w:id="206" w:name="_Toc15698"/>
      <w:bookmarkStart w:id="207" w:name="_Toc28598"/>
      <w:bookmarkStart w:id="208" w:name="_Toc3162"/>
      <w:bookmarkStart w:id="209" w:name="_Toc28161"/>
      <w:r>
        <w:rPr>
          <w:rFonts w:hint="eastAsia" w:ascii="仿宋" w:hAnsi="仿宋" w:eastAsia="仿宋" w:cs="仿宋"/>
          <w:bCs/>
          <w:iCs/>
          <w:color w:val="auto"/>
        </w:rPr>
        <w:t>附件1：</w:t>
      </w:r>
      <w:bookmarkEnd w:id="206"/>
      <w:bookmarkEnd w:id="207"/>
      <w:r>
        <w:rPr>
          <w:rFonts w:hint="eastAsia" w:ascii="仿宋" w:hAnsi="仿宋" w:eastAsia="仿宋" w:cs="仿宋"/>
          <w:color w:val="auto"/>
        </w:rPr>
        <w:t>项目支出绩效自评表</w:t>
      </w:r>
      <w:bookmarkEnd w:id="208"/>
      <w:bookmarkEnd w:id="209"/>
    </w:p>
    <w:tbl>
      <w:tblPr>
        <w:tblStyle w:val="13"/>
        <w:tblW w:w="514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65"/>
        <w:gridCol w:w="906"/>
        <w:gridCol w:w="894"/>
        <w:gridCol w:w="1298"/>
        <w:gridCol w:w="1067"/>
        <w:gridCol w:w="962"/>
        <w:gridCol w:w="706"/>
        <w:gridCol w:w="784"/>
        <w:gridCol w:w="1058"/>
        <w:gridCol w:w="895"/>
        <w:gridCol w:w="1280"/>
        <w:gridCol w:w="939"/>
        <w:gridCol w:w="741"/>
        <w:gridCol w:w="21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ascii="仿宋" w:hAnsi="仿宋" w:eastAsia="仿宋" w:cs="仿宋"/>
              </w:rPr>
            </w:pPr>
            <w:r>
              <w:rPr>
                <w:rFonts w:hint="eastAsia" w:ascii="仿宋" w:hAnsi="仿宋" w:eastAsia="仿宋" w:cs="仿宋"/>
                <w:lang w:val="en-US" w:eastAsia="zh-CN"/>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608"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项目名称</w:t>
            </w:r>
          </w:p>
        </w:tc>
        <w:tc>
          <w:tcPr>
            <w:tcW w:w="4391" w:type="pct"/>
            <w:gridSpan w:val="1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文化保护传承利用工程（第一批）中央基建 罗布人村寨旅游景区旅游基础设施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jc w:val="center"/>
        </w:trPr>
        <w:tc>
          <w:tcPr>
            <w:tcW w:w="608"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主管部门</w:t>
            </w:r>
          </w:p>
        </w:tc>
        <w:tc>
          <w:tcPr>
            <w:tcW w:w="1690"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尉犁县文化体育广播影视局(旅游局)</w:t>
            </w:r>
          </w:p>
        </w:tc>
        <w:tc>
          <w:tcPr>
            <w:tcW w:w="63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实施单位</w:t>
            </w:r>
          </w:p>
        </w:tc>
        <w:tc>
          <w:tcPr>
            <w:tcW w:w="2070"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尉犁县文化体育广播影视局(旅游局)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608" w:type="pct"/>
            <w:gridSpan w:val="2"/>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项目资金</w:t>
            </w:r>
            <w:r>
              <w:rPr>
                <w:rFonts w:hint="eastAsia" w:ascii="仿宋" w:hAnsi="仿宋" w:eastAsia="仿宋" w:cs="仿宋"/>
                <w:lang w:val="en-US" w:eastAsia="zh-CN"/>
              </w:rPr>
              <w:br w:type="textWrapping"/>
            </w:r>
            <w:r>
              <w:rPr>
                <w:rFonts w:hint="eastAsia" w:ascii="仿宋" w:hAnsi="仿宋" w:eastAsia="仿宋" w:cs="仿宋"/>
                <w:lang w:val="en-US" w:eastAsia="zh-CN"/>
              </w:rPr>
              <w:t>（万元）</w:t>
            </w:r>
          </w:p>
        </w:tc>
        <w:tc>
          <w:tcPr>
            <w:tcW w:w="752"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资金来源</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年初预算数</w:t>
            </w:r>
          </w:p>
        </w:tc>
        <w:tc>
          <w:tcPr>
            <w:tcW w:w="571"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全年预算数</w:t>
            </w:r>
          </w:p>
        </w:tc>
        <w:tc>
          <w:tcPr>
            <w:tcW w:w="63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全年执行数</w:t>
            </w:r>
          </w:p>
        </w:tc>
        <w:tc>
          <w:tcPr>
            <w:tcW w:w="74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分值权重</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执行率</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608"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752"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年度资金总额</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906.00</w:t>
            </w:r>
          </w:p>
        </w:tc>
        <w:tc>
          <w:tcPr>
            <w:tcW w:w="571"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906.00</w:t>
            </w:r>
          </w:p>
        </w:tc>
        <w:tc>
          <w:tcPr>
            <w:tcW w:w="63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878.08</w:t>
            </w:r>
          </w:p>
        </w:tc>
        <w:tc>
          <w:tcPr>
            <w:tcW w:w="74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96.92%</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608"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752"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其中：当年财政拨款</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906</w:t>
            </w:r>
          </w:p>
        </w:tc>
        <w:tc>
          <w:tcPr>
            <w:tcW w:w="571"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906</w:t>
            </w:r>
          </w:p>
        </w:tc>
        <w:tc>
          <w:tcPr>
            <w:tcW w:w="63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878.08</w:t>
            </w:r>
          </w:p>
        </w:tc>
        <w:tc>
          <w:tcPr>
            <w:tcW w:w="74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608"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752"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其他资金</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0.00</w:t>
            </w:r>
          </w:p>
        </w:tc>
        <w:tc>
          <w:tcPr>
            <w:tcW w:w="571"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0.00</w:t>
            </w:r>
          </w:p>
        </w:tc>
        <w:tc>
          <w:tcPr>
            <w:tcW w:w="63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w:t>
            </w:r>
          </w:p>
        </w:tc>
        <w:tc>
          <w:tcPr>
            <w:tcW w:w="74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297"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年度总体目标</w:t>
            </w:r>
          </w:p>
        </w:tc>
        <w:tc>
          <w:tcPr>
            <w:tcW w:w="2631" w:type="pct"/>
            <w:gridSpan w:val="8"/>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总体目标</w:t>
            </w:r>
          </w:p>
        </w:tc>
        <w:tc>
          <w:tcPr>
            <w:tcW w:w="2070"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2631" w:type="pct"/>
            <w:gridSpan w:val="8"/>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为打造绿色公共空间，不断提升人与自然和谐共生的现代化水平，完成两个驿站的建设，安装使用1个智能化系统以及建设1个木栈道。</w:t>
            </w:r>
          </w:p>
        </w:tc>
        <w:tc>
          <w:tcPr>
            <w:tcW w:w="2070"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为打造绿色公共空间，不断提升人与自然和谐共生的现代化水平，完成1个驿站的建设，安装使用1个智能化系统以及建设1个木栈道，尉犁县旅游基础设施得到明显的改善，提升了游客的体验观感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jc w:val="center"/>
        </w:trPr>
        <w:tc>
          <w:tcPr>
            <w:tcW w:w="29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一级指标</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二级指标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三级指标</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指标值</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指标值设置依据</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上年完成值</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指标分值权重</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指标赋分规则</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佐证资料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指标实际完成值</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完成率</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指标得分</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年度绩效指标完成情况</w:t>
            </w:r>
          </w:p>
        </w:tc>
        <w:tc>
          <w:tcPr>
            <w:tcW w:w="310"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产出指标</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数量指标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建设驿站数量</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=1个</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=2个</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绩效目标设置时不准确，实际建设驿站数2个。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数量指标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安装智能系统数量</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=1个</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=1个</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数量指标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建设木栈道数量</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=1个</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=1个</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质量指标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项目验收合格率</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&gt;=90%</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7</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0</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本项目截至2024年底项目未完工，因此未达到验收环节。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时效指标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项目计划开工时间</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2024年11月10日</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6</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直接赋分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=2024年11月10日</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6</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时效指标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项目计划完工时间</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2025年1月16日</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6</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直接赋分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=2025年1月16日</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6</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成本指标</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经济成本指标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木栈道经费支出</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&lt;=460万元</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原始凭证</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=460万元</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经济成本指标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智能化系统经费支出</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&lt;=200万元</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原始凭证</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=200万元</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经济成本指标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暂列金经费</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&lt;=106万元</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原始凭证</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=106万元</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经济成本指标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2个驿站经费支出</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&lt;=140万元</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5</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按照完成比例赋分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原始凭证</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=112.08万元</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80.06%</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2.51</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截止2024年底，项目尚未完结，资金未支付完毕。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效益指标</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社会效益指标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旅游基础设施条件显著改善</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显著改善</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按评判等级赋分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达成目标</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20</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7"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1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满意度指标</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满意度指标</w:t>
            </w:r>
          </w:p>
        </w:tc>
        <w:tc>
          <w:tcPr>
            <w:tcW w:w="44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游客满意度</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&gt;=90%</w:t>
            </w: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计划标准</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w:t>
            </w: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w:t>
            </w: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满意度赋分</w:t>
            </w: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工作资料</w:t>
            </w: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=90%</w:t>
            </w: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10</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绩效目标设置时指标值较低，项目实施情况较好游客满意度高，造成偏差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360" w:type="pct"/>
            <w:gridSpan w:val="4"/>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总分</w:t>
            </w:r>
          </w:p>
        </w:tc>
        <w:tc>
          <w:tcPr>
            <w:tcW w:w="36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3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6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0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43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3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c>
          <w:tcPr>
            <w:tcW w:w="25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r>
              <w:rPr>
                <w:rFonts w:hint="eastAsia" w:ascii="仿宋" w:hAnsi="仿宋" w:eastAsia="仿宋" w:cs="仿宋"/>
                <w:lang w:val="en-US" w:eastAsia="zh-CN"/>
              </w:rPr>
              <w:t>82.74分</w:t>
            </w:r>
          </w:p>
        </w:tc>
        <w:tc>
          <w:tcPr>
            <w:tcW w:w="74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rPr>
            </w:pPr>
          </w:p>
        </w:tc>
      </w:tr>
    </w:tbl>
    <w:p>
      <w:pPr>
        <w:ind w:left="0" w:leftChars="0" w:firstLine="0" w:firstLineChars="0"/>
        <w:jc w:val="both"/>
        <w:rPr>
          <w:rFonts w:hint="eastAsia" w:ascii="仿宋" w:hAnsi="仿宋" w:eastAsia="仿宋" w:cs="仿宋"/>
          <w:color w:val="auto"/>
          <w:sz w:val="18"/>
          <w:szCs w:val="18"/>
        </w:rPr>
      </w:pPr>
    </w:p>
    <w:p>
      <w:pPr>
        <w:pStyle w:val="4"/>
        <w:ind w:left="0" w:leftChars="0" w:firstLine="0" w:firstLineChars="0"/>
        <w:jc w:val="both"/>
        <w:outlineLvl w:val="9"/>
        <w:rPr>
          <w:rFonts w:hint="eastAsia" w:ascii="仿宋" w:hAnsi="仿宋" w:eastAsia="仿宋" w:cs="仿宋"/>
          <w:color w:val="auto"/>
        </w:rPr>
        <w:sectPr>
          <w:pgSz w:w="16838" w:h="11906" w:orient="landscape"/>
          <w:pgMar w:top="1800" w:right="1440" w:bottom="1800" w:left="1440" w:header="851" w:footer="992" w:gutter="0"/>
          <w:pgNumType w:fmt="decimal" w:start="1"/>
          <w:cols w:space="720" w:num="1"/>
          <w:docGrid w:type="lines" w:linePitch="312" w:charSpace="0"/>
        </w:sectPr>
      </w:pPr>
      <w:bookmarkStart w:id="210" w:name="_Toc22143"/>
      <w:bookmarkStart w:id="211" w:name="_Toc28099"/>
      <w:bookmarkStart w:id="212" w:name="_Toc5134"/>
      <w:bookmarkStart w:id="213" w:name="_Toc1641"/>
    </w:p>
    <w:p>
      <w:pPr>
        <w:pStyle w:val="3"/>
        <w:bidi w:val="0"/>
        <w:jc w:val="both"/>
        <w:outlineLvl w:val="0"/>
        <w:rPr>
          <w:rFonts w:hint="eastAsia" w:ascii="仿宋" w:hAnsi="仿宋" w:eastAsia="仿宋" w:cs="仿宋"/>
          <w:color w:val="auto"/>
        </w:rPr>
      </w:pPr>
      <w:bookmarkStart w:id="214" w:name="_Toc2925"/>
      <w:bookmarkStart w:id="215" w:name="_Toc29757"/>
      <w:bookmarkStart w:id="216" w:name="_Toc31300"/>
      <w:bookmarkStart w:id="217" w:name="_Toc12461"/>
      <w:r>
        <w:rPr>
          <w:rFonts w:hint="eastAsia" w:ascii="仿宋" w:hAnsi="仿宋" w:eastAsia="仿宋" w:cs="仿宋"/>
          <w:color w:val="auto"/>
        </w:rPr>
        <w:t>附件2：</w:t>
      </w:r>
      <w:bookmarkEnd w:id="210"/>
      <w:bookmarkEnd w:id="211"/>
      <w:bookmarkEnd w:id="212"/>
      <w:bookmarkEnd w:id="213"/>
      <w:bookmarkEnd w:id="214"/>
      <w:bookmarkEnd w:id="215"/>
      <w:bookmarkEnd w:id="216"/>
      <w:bookmarkEnd w:id="217"/>
    </w:p>
    <w:p>
      <w:pPr>
        <w:pStyle w:val="30"/>
        <w:bidi w:val="0"/>
        <w:jc w:val="center"/>
        <w:rPr>
          <w:rFonts w:hint="eastAsia" w:ascii="仿宋" w:hAnsi="仿宋" w:eastAsia="仿宋" w:cs="仿宋"/>
          <w:color w:val="auto"/>
        </w:rPr>
      </w:pPr>
      <w:bookmarkStart w:id="218" w:name="_Toc28936"/>
      <w:bookmarkStart w:id="219" w:name="_Toc28172"/>
      <w:bookmarkStart w:id="220" w:name="_Toc3501"/>
      <w:bookmarkStart w:id="221" w:name="_Toc29561"/>
      <w:r>
        <w:rPr>
          <w:rFonts w:hint="eastAsia" w:ascii="仿宋" w:hAnsi="仿宋" w:eastAsia="仿宋" w:cs="仿宋"/>
          <w:color w:val="auto"/>
        </w:rPr>
        <w:t>项目支出绩效评价指标体系及评分</w:t>
      </w:r>
      <w:bookmarkEnd w:id="218"/>
      <w:bookmarkEnd w:id="219"/>
      <w:bookmarkEnd w:id="220"/>
      <w:bookmarkEnd w:id="221"/>
    </w:p>
    <w:tbl>
      <w:tblPr>
        <w:tblStyle w:val="13"/>
        <w:tblW w:w="9006" w:type="dxa"/>
        <w:jc w:val="center"/>
        <w:tblLayout w:type="fixed"/>
        <w:tblCellMar>
          <w:top w:w="0" w:type="dxa"/>
          <w:left w:w="108" w:type="dxa"/>
          <w:bottom w:w="0" w:type="dxa"/>
          <w:right w:w="108" w:type="dxa"/>
        </w:tblCellMar>
      </w:tblPr>
      <w:tblGrid>
        <w:gridCol w:w="543"/>
        <w:gridCol w:w="615"/>
        <w:gridCol w:w="750"/>
        <w:gridCol w:w="1995"/>
        <w:gridCol w:w="3837"/>
        <w:gridCol w:w="563"/>
        <w:gridCol w:w="703"/>
      </w:tblGrid>
      <w:tr>
        <w:tblPrEx>
          <w:tblCellMar>
            <w:top w:w="0" w:type="dxa"/>
            <w:left w:w="108" w:type="dxa"/>
            <w:bottom w:w="0" w:type="dxa"/>
            <w:right w:w="108" w:type="dxa"/>
          </w:tblCellMar>
        </w:tblPrEx>
        <w:trPr>
          <w:trHeight w:val="651" w:hRule="atLeast"/>
          <w:jc w:val="center"/>
        </w:trPr>
        <w:tc>
          <w:tcPr>
            <w:tcW w:w="54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一级</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指标</w:t>
            </w:r>
          </w:p>
        </w:tc>
        <w:tc>
          <w:tcPr>
            <w:tcW w:w="615"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二级指标</w:t>
            </w:r>
          </w:p>
        </w:tc>
        <w:tc>
          <w:tcPr>
            <w:tcW w:w="750"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三级</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指标</w:t>
            </w:r>
          </w:p>
        </w:tc>
        <w:tc>
          <w:tcPr>
            <w:tcW w:w="1995" w:type="dxa"/>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指标解释</w:t>
            </w:r>
          </w:p>
        </w:tc>
        <w:tc>
          <w:tcPr>
            <w:tcW w:w="3837"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指标说明</w:t>
            </w:r>
          </w:p>
        </w:tc>
        <w:tc>
          <w:tcPr>
            <w:tcW w:w="56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分值</w:t>
            </w:r>
          </w:p>
        </w:tc>
        <w:tc>
          <w:tcPr>
            <w:tcW w:w="70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得分</w:t>
            </w:r>
          </w:p>
        </w:tc>
      </w:tr>
      <w:tr>
        <w:tblPrEx>
          <w:tblCellMar>
            <w:top w:w="0" w:type="dxa"/>
            <w:left w:w="108" w:type="dxa"/>
            <w:bottom w:w="0" w:type="dxa"/>
            <w:right w:w="108" w:type="dxa"/>
          </w:tblCellMar>
        </w:tblPrEx>
        <w:trPr>
          <w:trHeight w:val="176" w:hRule="atLeast"/>
          <w:jc w:val="center"/>
        </w:trPr>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决策</w:t>
            </w: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项目立项</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立项依据充分性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项目立项是否符合法律法规、相关政策、发展规划以及部门职责，用以反映和考核项目立项依据情况。</w:t>
            </w: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①项目立项是否符合国家法律法规、国民经济发展规划和相关政策；</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②项目立项是否符合行业发展规划和政策要求；</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③项目立项是否与部门职责范围相符，属于部门履职所需；</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④项目是否属于公共财政支持范围，是否符合中央、地方事权支出责任划分原则；</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⑤项目是否与相关部门同类项目或部门内部相关项目重复。</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立项程序规范性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项目申请、设立过程是否符合相关要求，用以反映和考核项目立项的规范情况。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①项目是否按照规定的程序申请设立；</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8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②审批文件、材料是否符合相关要求；</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③事前是否已经过必要的可行性研究、专家论证、风险评估、绩效评估、集体决策。</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绩效目标</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绩效目标合理性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项目所设定的绩效目标是否依据充分，是否符合客观实际，用以反映和考核项目绩效目标与项目实施的相符情况。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①项目是否有绩效目标；</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②项目绩效目标与实际工作内容是否具有相关性；</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③项目预期产出效益和效果是否符合正常的业绩水平；</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④是否与预算确定的项目投资额或资金量相匹配。</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绩效指标明确性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依据绩效目标设定的绩效指标是否清晰、细化、可衡量等，用以反映和考核项目绩效目标的明细化情况。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①是否将项目绩效目标细化分解为具体的绩效指标；</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②是否通过清晰、可衡量的指标值予以体现；</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③是否与项目目标任务数或计划数相对应。</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资金投入</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预算编制科学性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项目预算编制是否经过科学论证、有明确标准，资金额度与年度目标是否相适应，用以反映和考核项目预算编制的科学性、合理性情况。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①预算编制是否经过科学论证；</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②预算内容与项目内容是否匹配；</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③预算额度测算依据是否充分，是否按照标准编制；</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④预算确定的项目投资额或资金量是否与工作任务相匹配。</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资金分配合理性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项目预算资金分配是否有测算依据，与补助单位或地方实际是否相适应，用以反映和考核项目预算资金分配的科学性、合理性情况。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①预算资金分配依据是否充分；</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74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top"/>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②资金分配额度是否合理，与项目单位或地方实际是否相适应。</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过程</w:t>
            </w: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资金管理</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资金到位率</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实际到位资金与预算资金的比率，用以反映和考核资金落实情况对项目实施的总体保障程度。</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资金到位率=（实际到位资金/预算资金）×100%。</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实际到位资金：一定时期（本年度或项目期）内落实到具体项目的资金。</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407"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预算资金：一定时期（本年度或项目期）内预算安排到具体项目的资金。</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预算执行率</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项目预算资金是否按照计划执行，用以反映或考核项目预算执行情况。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预算执行率=（实际支出资金/实际到位资金）×100%。</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3.86</w:t>
            </w:r>
          </w:p>
        </w:tc>
      </w:tr>
      <w:tr>
        <w:tblPrEx>
          <w:tblCellMar>
            <w:top w:w="0" w:type="dxa"/>
            <w:left w:w="108" w:type="dxa"/>
            <w:bottom w:w="0" w:type="dxa"/>
            <w:right w:w="108" w:type="dxa"/>
          </w:tblCellMar>
        </w:tblPrEx>
        <w:trPr>
          <w:trHeight w:val="43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实际支出资金：一定时期（本年度或项目期）内项目实际拨付的资金。</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资金使用合规性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项目资金使用是否符合相关的财务管理制度规定，用以反映和考核项目资金的规范运行情况。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4</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①是否符合国家财经法规和财务管理制度以及有关专项资金管理办法的规定；</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②资金的拨付是否有完整的审批程序和手续；</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③是否符合项目预算批复或合同规定的用途；</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④是否存在截留、挤占、挪用、虚列支出等情况。</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5"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组织实施</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管理制度健全性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项目实施单位的财务和业务管理制度是否健全，用以反映和考核财务和业务管理制度对项目顺利实施的保障情况。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r>
      <w:tr>
        <w:tblPrEx>
          <w:tblCellMar>
            <w:top w:w="0" w:type="dxa"/>
            <w:left w:w="108" w:type="dxa"/>
            <w:bottom w:w="0" w:type="dxa"/>
            <w:right w:w="108" w:type="dxa"/>
          </w:tblCellMar>
        </w:tblPrEx>
        <w:trPr>
          <w:trHeight w:val="329"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①是否已制定或具有相应的财务和业务管理制度；</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5"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②财务和业务管理制度是否合法、合规、完整。</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制度执行有效性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项目实施是否符合相关管理规定，用以反映和考核相关管理制度的有效执行情况。</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评价要点：</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3</w:t>
            </w: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①是否遵守相关法律法规和相关管理规定；</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176"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②项目调整及支出调整手续是否完备；</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③项目合同书、验收报告、技术鉴定等资料是否齐全并及时归档；</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④项目实施的人员条件、场地设备、信息支撑等是否落实到位。</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25" w:hRule="atLeast"/>
          <w:jc w:val="center"/>
        </w:trPr>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产出</w:t>
            </w: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产出数量</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实际完成率</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项目实施的实际产出数与计划产出数的比率，用以反映和考核项目产出数量目标的实现程度。</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实际完成率=（实际产出数/计划产出数）×100%。</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12</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rPr>
              <w:t>1</w:t>
            </w:r>
            <w:r>
              <w:rPr>
                <w:rFonts w:hint="eastAsia" w:ascii="仿宋" w:hAnsi="仿宋" w:eastAsia="仿宋" w:cs="仿宋"/>
                <w:color w:val="auto"/>
                <w:sz w:val="18"/>
                <w:szCs w:val="18"/>
                <w:lang w:val="en-US" w:eastAsia="zh-CN"/>
              </w:rPr>
              <w:t>1.6</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实际产出数：一定时期（本年度或项目期）内项目实际产出的产品或提供的服务数量。</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500"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计划产出数：项目绩效目标确定的在一定时期（本年度或项目期）内计划产出的产品或提供的服务数量。</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产出质量</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质量达标率</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项目完成的质量达标产出数与实际产出数的比率，用以反映和考核项目产出质量目标的实现程度。</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质量达标率=（质量达标产出数/实际产出数）×100%。</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4</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0</w:t>
            </w:r>
          </w:p>
        </w:tc>
      </w:tr>
      <w:tr>
        <w:tblPrEx>
          <w:tblCellMar>
            <w:top w:w="0" w:type="dxa"/>
            <w:left w:w="108" w:type="dxa"/>
            <w:bottom w:w="0" w:type="dxa"/>
            <w:right w:w="108" w:type="dxa"/>
          </w:tblCellMar>
        </w:tblPrEx>
        <w:trPr>
          <w:trHeight w:val="825"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产出时效</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完成及时性</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项目实际完成时间与计划完成时间的比较，用以反映和考核项目产出时效目标的实现程度。</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实际完成时间：项目实施单位完成该项目实际所耗用的时间。</w:t>
            </w: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12</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12</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计划完成时间：按照项目实施计划或相关规定完成该项目所需的时间。</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325"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产出成本</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成本节约率</w:t>
            </w:r>
          </w:p>
        </w:tc>
        <w:tc>
          <w:tcPr>
            <w:tcW w:w="1995" w:type="dxa"/>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完成项目计划工作目标的实际节约成本与计划成本的比率，用以反映和考核项目的成本节约程度。</w:t>
            </w:r>
          </w:p>
        </w:tc>
        <w:tc>
          <w:tcPr>
            <w:tcW w:w="3837" w:type="dxa"/>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56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12</w:t>
            </w:r>
          </w:p>
        </w:tc>
        <w:tc>
          <w:tcPr>
            <w:tcW w:w="70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11.4</w:t>
            </w: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成本节约率=〔（计划成本</w:t>
            </w:r>
            <w:r>
              <w:rPr>
                <w:rFonts w:hint="eastAsia" w:ascii="仿宋" w:hAnsi="仿宋" w:eastAsia="仿宋" w:cs="仿宋"/>
                <w:color w:val="auto"/>
                <w:sz w:val="18"/>
                <w:szCs w:val="18"/>
                <w:highlight w:val="none"/>
                <w:lang w:eastAsia="zh-CN"/>
              </w:rPr>
              <w:t>－</w:t>
            </w:r>
            <w:r>
              <w:rPr>
                <w:rFonts w:hint="eastAsia" w:ascii="仿宋" w:hAnsi="仿宋" w:eastAsia="仿宋" w:cs="仿宋"/>
                <w:color w:val="auto"/>
                <w:sz w:val="18"/>
                <w:szCs w:val="18"/>
                <w:highlight w:val="none"/>
              </w:rPr>
              <w:t>实际成本）/计划成本〕×100%。</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837" w:type="dxa"/>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实际成本：项目实施单位如期、保质、保量完成既定工作目标实际所耗费的支出。</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338"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995" w:type="dxa"/>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837" w:type="dxa"/>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计划成本：项目实施单位为完成工作目标计划安排的支出，一般以项目预算为参考。</w:t>
            </w:r>
          </w:p>
        </w:tc>
        <w:tc>
          <w:tcPr>
            <w:tcW w:w="56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70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541" w:hRule="atLeast"/>
          <w:jc w:val="center"/>
        </w:trPr>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效益</w:t>
            </w:r>
          </w:p>
        </w:tc>
        <w:tc>
          <w:tcPr>
            <w:tcW w:w="615" w:type="dxa"/>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项目效益</w:t>
            </w:r>
          </w:p>
        </w:tc>
        <w:tc>
          <w:tcPr>
            <w:tcW w:w="750"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实施</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效益</w:t>
            </w:r>
          </w:p>
        </w:tc>
        <w:tc>
          <w:tcPr>
            <w:tcW w:w="1995" w:type="dxa"/>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项目实施所产生的效益。</w:t>
            </w:r>
          </w:p>
        </w:tc>
        <w:tc>
          <w:tcPr>
            <w:tcW w:w="3837"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项目实施所产生的社会效益、经济效益、生态效益、可持续影响等。可根据项目实际情况有选择地设置和细化。</w:t>
            </w:r>
          </w:p>
        </w:tc>
        <w:tc>
          <w:tcPr>
            <w:tcW w:w="56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10</w:t>
            </w:r>
          </w:p>
        </w:tc>
        <w:tc>
          <w:tcPr>
            <w:tcW w:w="70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10</w:t>
            </w:r>
          </w:p>
        </w:tc>
      </w:tr>
      <w:tr>
        <w:tblPrEx>
          <w:tblCellMar>
            <w:top w:w="0" w:type="dxa"/>
            <w:left w:w="108" w:type="dxa"/>
            <w:bottom w:w="0" w:type="dxa"/>
            <w:right w:w="108" w:type="dxa"/>
          </w:tblCellMar>
        </w:tblPrEx>
        <w:trPr>
          <w:trHeight w:val="595" w:hRule="atLeast"/>
          <w:jc w:val="center"/>
        </w:trPr>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615" w:type="dxa"/>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满意度</w:t>
            </w:r>
          </w:p>
        </w:tc>
        <w:tc>
          <w:tcPr>
            <w:tcW w:w="1995" w:type="dxa"/>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社会公众或服务对象对项目实施效果的满意程度。</w:t>
            </w:r>
          </w:p>
        </w:tc>
        <w:tc>
          <w:tcPr>
            <w:tcW w:w="3837"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社会公众或服务对象是指因该项目实施而受到影响的部门（单位）、群体或个人。一般采取社会调查的方式。</w:t>
            </w:r>
          </w:p>
        </w:tc>
        <w:tc>
          <w:tcPr>
            <w:tcW w:w="56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10</w:t>
            </w:r>
          </w:p>
        </w:tc>
        <w:tc>
          <w:tcPr>
            <w:tcW w:w="70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10</w:t>
            </w:r>
          </w:p>
        </w:tc>
      </w:tr>
      <w:tr>
        <w:tblPrEx>
          <w:tblCellMar>
            <w:top w:w="0" w:type="dxa"/>
            <w:left w:w="108" w:type="dxa"/>
            <w:bottom w:w="0" w:type="dxa"/>
            <w:right w:w="108" w:type="dxa"/>
          </w:tblCellMar>
        </w:tblPrEx>
        <w:trPr>
          <w:trHeight w:val="338" w:hRule="atLeast"/>
          <w:jc w:val="center"/>
        </w:trPr>
        <w:tc>
          <w:tcPr>
            <w:tcW w:w="7740" w:type="dxa"/>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合计</w:t>
            </w:r>
          </w:p>
        </w:tc>
        <w:tc>
          <w:tcPr>
            <w:tcW w:w="56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100</w:t>
            </w:r>
          </w:p>
        </w:tc>
        <w:tc>
          <w:tcPr>
            <w:tcW w:w="703" w:type="dxa"/>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94.86</w:t>
            </w:r>
          </w:p>
        </w:tc>
      </w:tr>
    </w:tbl>
    <w:p>
      <w:pPr>
        <w:ind w:firstLine="640"/>
        <w:jc w:val="both"/>
        <w:rPr>
          <w:rFonts w:hint="eastAsia" w:ascii="仿宋" w:hAnsi="仿宋" w:eastAsia="仿宋" w:cs="仿宋"/>
          <w:color w:val="auto"/>
          <w:highlight w:val="yellow"/>
        </w:rPr>
      </w:pPr>
    </w:p>
    <w:p>
      <w:pPr>
        <w:rPr>
          <w:rFonts w:hint="eastAsia" w:ascii="仿宋" w:hAnsi="仿宋" w:eastAsia="仿宋" w:cs="仿宋"/>
          <w:color w:val="auto"/>
        </w:rPr>
      </w:pPr>
      <w:r>
        <w:rPr>
          <w:rFonts w:hint="eastAsia" w:ascii="仿宋" w:hAnsi="仿宋" w:eastAsia="仿宋" w:cs="仿宋"/>
          <w:color w:val="auto"/>
        </w:rPr>
        <w:t xml:space="preserve"> </w:t>
      </w:r>
      <w:bookmarkEnd w:id="0"/>
    </w:p>
    <w:p>
      <w:pPr>
        <w:rPr>
          <w:rFonts w:hint="eastAsia" w:ascii="仿宋" w:hAnsi="仿宋" w:eastAsia="仿宋" w:cs="仿宋"/>
          <w:color w:val="auto"/>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00000"/>
    <w:rsid w:val="46EB7877"/>
    <w:rsid w:val="482652A0"/>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0" w:firstLineChars="20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
    <w:pPr>
      <w:keepNext/>
      <w:keepLines/>
      <w:ind w:firstLine="0" w:firstLineChars="0"/>
      <w:jc w:val="center"/>
      <w:outlineLvl w:val="0"/>
    </w:pPr>
    <w:rPr>
      <w:rFonts w:eastAsia="方正小标宋_GBK"/>
      <w:kern w:val="44"/>
      <w:sz w:val="36"/>
    </w:rPr>
  </w:style>
  <w:style w:type="paragraph" w:styleId="3">
    <w:name w:val="heading 2"/>
    <w:basedOn w:val="1"/>
    <w:next w:val="1"/>
    <w:link w:val="22"/>
    <w:qFormat/>
    <w:uiPriority w:val="99"/>
    <w:pPr>
      <w:keepNext/>
      <w:outlineLvl w:val="1"/>
    </w:pPr>
    <w:rPr>
      <w:rFonts w:eastAsia="黑体" w:cs="Times New Roman"/>
      <w:bCs/>
      <w:iCs/>
      <w:szCs w:val="21"/>
    </w:rPr>
  </w:style>
  <w:style w:type="paragraph" w:styleId="4">
    <w:name w:val="heading 3"/>
    <w:basedOn w:val="1"/>
    <w:next w:val="1"/>
    <w:link w:val="23"/>
    <w:unhideWhenUsed/>
    <w:qFormat/>
    <w:uiPriority w:val="9"/>
    <w:pPr>
      <w:keepNext/>
      <w:keepLines/>
      <w:outlineLvl w:val="2"/>
    </w:pPr>
    <w:rPr>
      <w:rFonts w:eastAsia="楷体_GB2312"/>
      <w:b/>
    </w:rPr>
  </w:style>
  <w:style w:type="paragraph" w:styleId="5">
    <w:name w:val="heading 4"/>
    <w:basedOn w:val="1"/>
    <w:next w:val="1"/>
    <w:qFormat/>
    <w:uiPriority w:val="0"/>
    <w:pPr>
      <w:keepNext/>
      <w:keepLines/>
      <w:spacing w:before="280" w:after="290" w:line="376" w:lineRule="auto"/>
      <w:outlineLvl w:val="3"/>
    </w:pPr>
    <w:rPr>
      <w:rFonts w:ascii="Cambria" w:hAnsi="Cambria" w:eastAsia="宋体"/>
      <w:b/>
      <w:bCs/>
      <w:sz w:val="28"/>
      <w:szCs w:val="28"/>
    </w:rPr>
  </w:style>
  <w:style w:type="character" w:default="1" w:styleId="15">
    <w:name w:val="Default Paragraph Font"/>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39"/>
    <w:pPr>
      <w:ind w:left="840" w:leftChars="400"/>
    </w:pPr>
  </w:style>
  <w:style w:type="paragraph" w:styleId="7">
    <w:name w:val="footer"/>
    <w:basedOn w:val="1"/>
    <w:link w:val="21"/>
    <w:unhideWhenUsed/>
    <w:qFormat/>
    <w:uiPriority w:val="99"/>
    <w:pPr>
      <w:tabs>
        <w:tab w:val="center" w:pos="4153"/>
        <w:tab w:val="right" w:pos="8306"/>
      </w:tabs>
      <w:snapToGrid w:val="0"/>
      <w:jc w:val="left"/>
    </w:pPr>
    <w:rPr>
      <w:sz w:val="18"/>
    </w:rPr>
  </w:style>
  <w:style w:type="paragraph" w:styleId="8">
    <w:name w:val="header"/>
    <w:basedOn w:val="1"/>
    <w:link w:val="20"/>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next w:val="1"/>
    <w:qFormat/>
    <w:uiPriority w:val="10"/>
    <w:pPr>
      <w:widowControl/>
      <w:spacing w:before="240" w:after="60"/>
      <w:jc w:val="center"/>
      <w:outlineLvl w:val="0"/>
    </w:pPr>
    <w:rPr>
      <w:rFonts w:ascii="Cambria" w:hAnsi="Cambria" w:eastAsia="宋体"/>
      <w:b/>
      <w:bCs/>
      <w:kern w:val="28"/>
      <w:sz w:val="32"/>
      <w:szCs w:val="32"/>
    </w:r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6">
    <w:name w:val="Comment Text"/>
    <w:basedOn w:val="1"/>
    <w:qFormat/>
    <w:uiPriority w:val="0"/>
    <w:pPr>
      <w:jc w:val="left"/>
    </w:pPr>
  </w:style>
  <w:style w:type="character" w:customStyle="1" w:styleId="17">
    <w:name w:val="font101"/>
    <w:basedOn w:val="15"/>
    <w:uiPriority w:val="0"/>
    <w:rPr>
      <w:rFonts w:hint="eastAsia" w:ascii="宋体" w:hAnsi="宋体" w:eastAsia="宋体" w:cs="宋体"/>
      <w:color w:val="000000"/>
      <w:sz w:val="18"/>
      <w:szCs w:val="18"/>
      <w:u w:val="none"/>
    </w:rPr>
  </w:style>
  <w:style w:type="character" w:customStyle="1" w:styleId="18">
    <w:name w:val="font21"/>
    <w:basedOn w:val="15"/>
    <w:qFormat/>
    <w:uiPriority w:val="0"/>
    <w:rPr>
      <w:rFonts w:hint="default" w:ascii="Times New Roman" w:hAnsi="Times New Roman" w:cs="Times New Roman"/>
      <w:color w:val="000000"/>
      <w:sz w:val="22"/>
      <w:szCs w:val="22"/>
      <w:u w:val="none"/>
    </w:rPr>
  </w:style>
  <w:style w:type="character" w:customStyle="1" w:styleId="19">
    <w:name w:val="font81"/>
    <w:basedOn w:val="15"/>
    <w:qFormat/>
    <w:uiPriority w:val="0"/>
    <w:rPr>
      <w:rFonts w:hint="eastAsia" w:ascii="宋体" w:hAnsi="宋体" w:eastAsia="宋体" w:cs="宋体"/>
      <w:color w:val="000000"/>
      <w:sz w:val="22"/>
      <w:szCs w:val="22"/>
      <w:u w:val="none"/>
    </w:rPr>
  </w:style>
  <w:style w:type="character" w:customStyle="1" w:styleId="20">
    <w:name w:val="页眉 字符"/>
    <w:link w:val="8"/>
    <w:qFormat/>
    <w:uiPriority w:val="99"/>
    <w:rPr>
      <w:rFonts w:eastAsia="仿宋_GB2312" w:cs="Times New Roman"/>
      <w:kern w:val="2"/>
      <w:sz w:val="18"/>
      <w:szCs w:val="22"/>
    </w:rPr>
  </w:style>
  <w:style w:type="character" w:customStyle="1" w:styleId="21">
    <w:name w:val="页脚 字符"/>
    <w:link w:val="7"/>
    <w:qFormat/>
    <w:uiPriority w:val="99"/>
    <w:rPr>
      <w:rFonts w:eastAsia="仿宋_GB2312" w:cs="Times New Roman"/>
      <w:kern w:val="2"/>
      <w:sz w:val="18"/>
      <w:szCs w:val="22"/>
    </w:rPr>
  </w:style>
  <w:style w:type="character" w:customStyle="1" w:styleId="22">
    <w:name w:val="标题 2 字符"/>
    <w:link w:val="3"/>
    <w:qFormat/>
    <w:uiPriority w:val="99"/>
    <w:rPr>
      <w:rFonts w:eastAsia="黑体"/>
      <w:bCs/>
      <w:iCs/>
      <w:kern w:val="2"/>
      <w:sz w:val="32"/>
      <w:szCs w:val="21"/>
    </w:rPr>
  </w:style>
  <w:style w:type="character" w:customStyle="1" w:styleId="23">
    <w:name w:val="标题 3 字符"/>
    <w:link w:val="4"/>
    <w:qFormat/>
    <w:uiPriority w:val="9"/>
    <w:rPr>
      <w:rFonts w:eastAsia="楷体_GB2312" w:cs="Times New Roman"/>
      <w:b/>
      <w:kern w:val="2"/>
      <w:sz w:val="32"/>
      <w:szCs w:val="22"/>
    </w:rPr>
  </w:style>
  <w:style w:type="character" w:customStyle="1" w:styleId="24">
    <w:name w:val="font91"/>
    <w:basedOn w:val="15"/>
    <w:qFormat/>
    <w:uiPriority w:val="0"/>
    <w:rPr>
      <w:rFonts w:hint="default" w:ascii="Times New Roman" w:hAnsi="Times New Roman" w:cs="Times New Roman"/>
      <w:color w:val="000000"/>
      <w:sz w:val="18"/>
      <w:szCs w:val="18"/>
      <w:u w:val="none"/>
    </w:rPr>
  </w:style>
  <w:style w:type="character" w:customStyle="1" w:styleId="25">
    <w:name w:val="font131"/>
    <w:basedOn w:val="15"/>
    <w:qFormat/>
    <w:uiPriority w:val="0"/>
    <w:rPr>
      <w:rFonts w:hint="eastAsia" w:ascii="宋体" w:hAnsi="宋体" w:eastAsia="宋体" w:cs="宋体"/>
      <w:color w:val="000000"/>
      <w:sz w:val="18"/>
      <w:szCs w:val="18"/>
      <w:u w:val="none"/>
    </w:rPr>
  </w:style>
  <w:style w:type="character" w:customStyle="1" w:styleId="26">
    <w:name w:val="font112"/>
    <w:basedOn w:val="15"/>
    <w:qFormat/>
    <w:uiPriority w:val="0"/>
    <w:rPr>
      <w:rFonts w:hint="eastAsia" w:ascii="宋体" w:hAnsi="宋体" w:eastAsia="宋体" w:cs="宋体"/>
      <w:color w:val="000000"/>
      <w:sz w:val="22"/>
      <w:szCs w:val="22"/>
      <w:u w:val="none"/>
    </w:rPr>
  </w:style>
  <w:style w:type="character" w:customStyle="1" w:styleId="27">
    <w:name w:val="font41"/>
    <w:basedOn w:val="15"/>
    <w:qFormat/>
    <w:uiPriority w:val="0"/>
    <w:rPr>
      <w:rFonts w:hint="eastAsia" w:ascii="宋体" w:hAnsi="宋体" w:eastAsia="宋体" w:cs="宋体"/>
      <w:color w:val="000000"/>
      <w:sz w:val="22"/>
      <w:szCs w:val="22"/>
      <w:u w:val="none"/>
    </w:rPr>
  </w:style>
  <w:style w:type="character" w:customStyle="1" w:styleId="28">
    <w:name w:val="font71"/>
    <w:basedOn w:val="15"/>
    <w:qFormat/>
    <w:uiPriority w:val="0"/>
    <w:rPr>
      <w:rFonts w:hint="eastAsia" w:ascii="宋体" w:hAnsi="宋体" w:eastAsia="宋体" w:cs="宋体"/>
      <w:color w:val="000000"/>
      <w:sz w:val="22"/>
      <w:szCs w:val="22"/>
      <w:u w:val="none"/>
    </w:r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 w:type="paragraph" w:customStyle="1" w:styleId="30">
    <w:name w:val="表格标题"/>
    <w:basedOn w:val="1"/>
    <w:next w:val="1"/>
    <w:qFormat/>
    <w:uiPriority w:val="0"/>
    <w:pPr>
      <w:keepNext/>
      <w:keepLines/>
      <w:ind w:firstLine="0" w:firstLineChars="0"/>
      <w:jc w:val="center"/>
      <w:outlineLvl w:val="0"/>
    </w:pPr>
    <w:rPr>
      <w:rFonts w:hint="eastAsia"/>
      <w:b/>
      <w:kern w:val="44"/>
    </w:rPr>
  </w:style>
  <w:style w:type="paragraph" w:customStyle="1" w:styleId="31">
    <w:name w:val="表格内容"/>
    <w:basedOn w:val="1"/>
    <w:next w:val="1"/>
    <w:qFormat/>
    <w:uiPriority w:val="0"/>
    <w:pPr>
      <w:keepNext w:val="0"/>
      <w:keepLines/>
      <w:spacing w:line="240" w:lineRule="auto"/>
      <w:ind w:firstLine="0" w:firstLineChars="0"/>
      <w:jc w:val="center"/>
      <w:outlineLvl w:val="9"/>
    </w:pPr>
    <w:rPr>
      <w:rFonts w:hint="eastAsia" w:ascii="Times New Roman" w:hAnsi="Times New Roman"/>
      <w:kern w:val="44"/>
      <w:sz w:val="21"/>
    </w:rPr>
  </w:style>
  <w:style w:type="paragraph" w:customStyle="1" w:styleId="3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DBE8F74F15384B029E23203493594D58_13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4476ec-41cb-482e-9ccb-67c96405f25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28</Pages>
  <Words>12838</Words>
  <Characters>13537</Characters>
  <Lines>110</Lines>
  <Paragraphs>31</Paragraphs>
  <TotalTime>28</TotalTime>
  <ScaleCrop>false</ScaleCrop>
  <LinksUpToDate>false</LinksUpToDate>
  <CharactersWithSpaces>13580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2019-11-25T20:51:00Z</dcterms:created>
  <dc:creator>Administrator</dc:creator>
  <cp:lastModifiedBy>Administrator</cp:lastModifiedBy>
  <dcterms:modified xsi:type="dcterms:W3CDTF">2025-09-23T11:51:12Z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DBE8F74F15384B029E23203493594D58_13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